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64" w:rsidRPr="00344706" w:rsidRDefault="00EB5A7F" w:rsidP="00344706">
      <w:pPr>
        <w:spacing w:after="0" w:line="240" w:lineRule="auto"/>
        <w:jc w:val="center"/>
        <w:rPr>
          <w:rFonts w:ascii="Times New Roman" w:hAnsi="Times New Roman" w:cs="Times New Roman"/>
          <w:b/>
        </w:rPr>
      </w:pPr>
      <w:r w:rsidRPr="00344706">
        <w:rPr>
          <w:rFonts w:ascii="Times New Roman" w:hAnsi="Times New Roman" w:cs="Times New Roman"/>
          <w:b/>
        </w:rPr>
        <w:t xml:space="preserve">A </w:t>
      </w:r>
      <w:r w:rsidR="00A34684" w:rsidRPr="00344706">
        <w:rPr>
          <w:rFonts w:ascii="Times New Roman" w:hAnsi="Times New Roman" w:cs="Times New Roman"/>
          <w:b/>
        </w:rPr>
        <w:t>JURISPRUDÊNCIA DOS INTERESSES</w:t>
      </w:r>
      <w:r w:rsidRPr="00344706">
        <w:rPr>
          <w:rFonts w:ascii="Times New Roman" w:hAnsi="Times New Roman" w:cs="Times New Roman"/>
          <w:b/>
        </w:rPr>
        <w:t>E A METODOLOGIA JURÍDICA PRÁTICA</w:t>
      </w:r>
    </w:p>
    <w:p w:rsidR="00A34684" w:rsidRPr="00F43E44" w:rsidRDefault="00A34684" w:rsidP="00DD5E7A">
      <w:pPr>
        <w:spacing w:after="0" w:line="240" w:lineRule="auto"/>
        <w:jc w:val="both"/>
        <w:rPr>
          <w:rFonts w:ascii="Times New Roman" w:hAnsi="Times New Roman" w:cs="Times New Roman"/>
        </w:rPr>
      </w:pPr>
    </w:p>
    <w:p w:rsidR="003C4864" w:rsidRPr="00F43E44" w:rsidRDefault="003C4864" w:rsidP="00DD5E7A">
      <w:pPr>
        <w:spacing w:after="0" w:line="240" w:lineRule="auto"/>
        <w:jc w:val="right"/>
        <w:rPr>
          <w:rFonts w:ascii="Times New Roman" w:hAnsi="Times New Roman" w:cs="Times New Roman"/>
        </w:rPr>
      </w:pPr>
      <w:proofErr w:type="gramStart"/>
      <w:r w:rsidRPr="00F43E44">
        <w:rPr>
          <w:rFonts w:ascii="Times New Roman" w:hAnsi="Times New Roman" w:cs="Times New Roman"/>
          <w:i/>
        </w:rPr>
        <w:t>“Três palavras de correção do legislador e bibliotecas</w:t>
      </w:r>
    </w:p>
    <w:p w:rsidR="003C4864" w:rsidRPr="00F43E44" w:rsidRDefault="003C4864" w:rsidP="003C4864">
      <w:pPr>
        <w:spacing w:after="0" w:line="100" w:lineRule="atLeast"/>
        <w:jc w:val="right"/>
        <w:rPr>
          <w:rFonts w:ascii="Times New Roman" w:hAnsi="Times New Roman" w:cs="Times New Roman"/>
        </w:rPr>
      </w:pPr>
      <w:r w:rsidRPr="00F43E44">
        <w:rPr>
          <w:rFonts w:ascii="Times New Roman" w:hAnsi="Times New Roman" w:cs="Times New Roman"/>
          <w:i/>
        </w:rPr>
        <w:t>inteiras</w:t>
      </w:r>
      <w:proofErr w:type="gramEnd"/>
      <w:r w:rsidRPr="00F43E44">
        <w:rPr>
          <w:rFonts w:ascii="Times New Roman" w:hAnsi="Times New Roman" w:cs="Times New Roman"/>
          <w:i/>
        </w:rPr>
        <w:t xml:space="preserve"> transformam-se em papel de embrulho”</w:t>
      </w:r>
    </w:p>
    <w:p w:rsidR="003C4864" w:rsidRPr="00F43E44" w:rsidRDefault="003C4864" w:rsidP="003C4864">
      <w:pPr>
        <w:spacing w:after="0" w:line="100" w:lineRule="atLeast"/>
        <w:jc w:val="right"/>
        <w:rPr>
          <w:rFonts w:ascii="Times New Roman" w:hAnsi="Times New Roman" w:cs="Times New Roman"/>
        </w:rPr>
      </w:pPr>
      <w:r w:rsidRPr="00F43E44">
        <w:rPr>
          <w:rFonts w:ascii="Times New Roman" w:hAnsi="Times New Roman" w:cs="Times New Roman"/>
        </w:rPr>
        <w:t>(</w:t>
      </w:r>
      <w:proofErr w:type="spellStart"/>
      <w:r w:rsidRPr="00F43E44">
        <w:rPr>
          <w:rFonts w:ascii="Times New Roman" w:hAnsi="Times New Roman" w:cs="Times New Roman"/>
        </w:rPr>
        <w:t>Kirchmann</w:t>
      </w:r>
      <w:proofErr w:type="spellEnd"/>
      <w:r w:rsidRPr="00F43E44">
        <w:rPr>
          <w:rFonts w:ascii="Times New Roman" w:hAnsi="Times New Roman" w:cs="Times New Roman"/>
        </w:rPr>
        <w:t>)</w:t>
      </w:r>
    </w:p>
    <w:p w:rsidR="003C4864" w:rsidRDefault="003C4864" w:rsidP="003C4864">
      <w:pPr>
        <w:spacing w:after="0" w:line="360" w:lineRule="auto"/>
        <w:jc w:val="both"/>
        <w:rPr>
          <w:rFonts w:ascii="Times New Roman" w:hAnsi="Times New Roman" w:cs="Times New Roman"/>
        </w:rPr>
      </w:pPr>
    </w:p>
    <w:p w:rsidR="00DD5E7A" w:rsidRPr="00344706" w:rsidRDefault="00A34684" w:rsidP="00DD5E7A">
      <w:pPr>
        <w:spacing w:after="0" w:line="360" w:lineRule="auto"/>
        <w:jc w:val="right"/>
        <w:rPr>
          <w:rFonts w:ascii="Times New Roman" w:hAnsi="Times New Roman" w:cs="Times New Roman"/>
          <w:b/>
        </w:rPr>
      </w:pPr>
      <w:r w:rsidRPr="00344706">
        <w:rPr>
          <w:rFonts w:ascii="Times New Roman" w:hAnsi="Times New Roman" w:cs="Times New Roman"/>
          <w:b/>
        </w:rPr>
        <w:t>Elias Canal Freitas</w:t>
      </w:r>
      <w:r w:rsidRPr="00344706">
        <w:rPr>
          <w:rStyle w:val="Refdenotaderodap"/>
          <w:rFonts w:ascii="Times New Roman" w:hAnsi="Times New Roman" w:cs="Times New Roman"/>
          <w:b/>
        </w:rPr>
        <w:footnoteReference w:id="1"/>
      </w:r>
    </w:p>
    <w:p w:rsidR="00DD5E7A" w:rsidRDefault="00EB5A7F" w:rsidP="00DD5E7A">
      <w:pPr>
        <w:spacing w:before="720" w:after="720" w:line="360" w:lineRule="auto"/>
        <w:jc w:val="both"/>
        <w:rPr>
          <w:rFonts w:ascii="Times New Roman" w:hAnsi="Times New Roman" w:cs="Times New Roman"/>
          <w:b/>
        </w:rPr>
      </w:pPr>
      <w:commentRangeStart w:id="0"/>
      <w:r w:rsidRPr="00EB5A7F">
        <w:rPr>
          <w:rFonts w:ascii="Times New Roman" w:hAnsi="Times New Roman" w:cs="Times New Roman"/>
          <w:b/>
        </w:rPr>
        <w:t>RESUM</w:t>
      </w:r>
      <w:r w:rsidR="00DD5E7A">
        <w:rPr>
          <w:rFonts w:ascii="Times New Roman" w:hAnsi="Times New Roman" w:cs="Times New Roman"/>
          <w:b/>
        </w:rPr>
        <w:t>O</w:t>
      </w:r>
      <w:commentRangeEnd w:id="0"/>
      <w:r w:rsidR="00DD5E7A">
        <w:rPr>
          <w:rStyle w:val="Refdecomentrio"/>
        </w:rPr>
        <w:commentReference w:id="0"/>
      </w:r>
    </w:p>
    <w:p w:rsidR="00753B01" w:rsidRDefault="00DD5E7A" w:rsidP="00DD5E7A">
      <w:pPr>
        <w:spacing w:before="720" w:after="0" w:line="360" w:lineRule="auto"/>
        <w:jc w:val="both"/>
        <w:rPr>
          <w:rFonts w:ascii="Times New Roman" w:hAnsi="Times New Roman" w:cs="Times New Roman"/>
        </w:rPr>
      </w:pPr>
      <w:r>
        <w:rPr>
          <w:rFonts w:ascii="Times New Roman" w:hAnsi="Times New Roman" w:cs="Times New Roman"/>
        </w:rPr>
        <w:br/>
      </w:r>
      <w:r w:rsidR="00F43E44">
        <w:rPr>
          <w:rFonts w:ascii="Times New Roman" w:hAnsi="Times New Roman" w:cs="Times New Roman"/>
        </w:rPr>
        <w:t xml:space="preserve">A metodologia jurídica é um campo do conhecimento do Direito em que se procura responder a pergunta: </w:t>
      </w:r>
      <w:r w:rsidR="00F43E44" w:rsidRPr="00F43E44">
        <w:rPr>
          <w:rFonts w:ascii="Times New Roman" w:hAnsi="Times New Roman" w:cs="Times New Roman"/>
        </w:rPr>
        <w:t>como mobilizar o sistema jurídico a fim de solucionar um determinado problema jurídico concreto?</w:t>
      </w:r>
      <w:r w:rsidR="00A34684">
        <w:rPr>
          <w:rFonts w:ascii="Times New Roman" w:hAnsi="Times New Roman" w:cs="Times New Roman"/>
        </w:rPr>
        <w:t xml:space="preserve"> Assim</w:t>
      </w:r>
      <w:r w:rsidR="00F43E44">
        <w:rPr>
          <w:rFonts w:ascii="Times New Roman" w:hAnsi="Times New Roman" w:cs="Times New Roman"/>
        </w:rPr>
        <w:t xml:space="preserve">, surgem diversas escolas metodológicas, umas com acentuação formal, outras prático, que acentuam ora o sistema, ora o problema. </w:t>
      </w:r>
      <w:r w:rsidR="00A34684">
        <w:rPr>
          <w:rFonts w:ascii="Times New Roman" w:hAnsi="Times New Roman" w:cs="Times New Roman"/>
        </w:rPr>
        <w:t>Nesse contexto a</w:t>
      </w:r>
      <w:r w:rsidR="00F43E44">
        <w:rPr>
          <w:rFonts w:ascii="Times New Roman" w:hAnsi="Times New Roman" w:cs="Times New Roman"/>
        </w:rPr>
        <w:t xml:space="preserve"> Jurisprudência dos Interesses foi um importante movimento de </w:t>
      </w:r>
      <w:proofErr w:type="spellStart"/>
      <w:r w:rsidR="00F43E44">
        <w:rPr>
          <w:rFonts w:ascii="Times New Roman" w:hAnsi="Times New Roman" w:cs="Times New Roman"/>
        </w:rPr>
        <w:t>cariz</w:t>
      </w:r>
      <w:proofErr w:type="spellEnd"/>
      <w:r w:rsidR="00F43E44">
        <w:rPr>
          <w:rFonts w:ascii="Times New Roman" w:hAnsi="Times New Roman" w:cs="Times New Roman"/>
        </w:rPr>
        <w:t xml:space="preserve"> prático em que a finalidade da norma sobressai como elemento decisivo para a solução do caso concreto</w:t>
      </w:r>
      <w:r w:rsidR="00A34684">
        <w:rPr>
          <w:rFonts w:ascii="Times New Roman" w:hAnsi="Times New Roman" w:cs="Times New Roman"/>
        </w:rPr>
        <w:t>.</w:t>
      </w:r>
      <w:r w:rsidR="00753B01">
        <w:rPr>
          <w:rFonts w:ascii="Times New Roman" w:hAnsi="Times New Roman" w:cs="Times New Roman"/>
        </w:rPr>
        <w:t xml:space="preserve"> A</w:t>
      </w:r>
      <w:r w:rsidR="00753B01" w:rsidRPr="00F43E44">
        <w:rPr>
          <w:rFonts w:ascii="Times New Roman" w:hAnsi="Times New Roman" w:cs="Times New Roman"/>
        </w:rPr>
        <w:t>s caracte</w:t>
      </w:r>
      <w:r w:rsidR="00753B01">
        <w:rPr>
          <w:rFonts w:ascii="Times New Roman" w:hAnsi="Times New Roman" w:cs="Times New Roman"/>
        </w:rPr>
        <w:t>rísticas da Jurisprudência dos I</w:t>
      </w:r>
      <w:r w:rsidR="00753B01" w:rsidRPr="00F43E44">
        <w:rPr>
          <w:rFonts w:ascii="Times New Roman" w:hAnsi="Times New Roman" w:cs="Times New Roman"/>
        </w:rPr>
        <w:t>nteresses desencadearam novas funções para o juiz</w:t>
      </w:r>
      <w:r w:rsidR="00753B01">
        <w:rPr>
          <w:rFonts w:ascii="Times New Roman" w:hAnsi="Times New Roman" w:cs="Times New Roman"/>
        </w:rPr>
        <w:t xml:space="preserve">, sobretudo na </w:t>
      </w:r>
      <w:r w:rsidR="00753B01" w:rsidRPr="00F43E44">
        <w:rPr>
          <w:rFonts w:ascii="Times New Roman" w:hAnsi="Times New Roman" w:cs="Times New Roman"/>
        </w:rPr>
        <w:t>interpretação da lei</w:t>
      </w:r>
      <w:r w:rsidR="00753B01">
        <w:rPr>
          <w:rFonts w:ascii="Times New Roman" w:hAnsi="Times New Roman" w:cs="Times New Roman"/>
        </w:rPr>
        <w:t>, n</w:t>
      </w:r>
      <w:r w:rsidR="00753B01" w:rsidRPr="00F43E44">
        <w:rPr>
          <w:rFonts w:ascii="Times New Roman" w:hAnsi="Times New Roman" w:cs="Times New Roman"/>
        </w:rPr>
        <w:t xml:space="preserve">a aplicação da </w:t>
      </w:r>
      <w:proofErr w:type="gramStart"/>
      <w:r w:rsidR="00753B01" w:rsidRPr="00F43E44">
        <w:rPr>
          <w:rFonts w:ascii="Times New Roman" w:hAnsi="Times New Roman" w:cs="Times New Roman"/>
        </w:rPr>
        <w:t>lei</w:t>
      </w:r>
      <w:r w:rsidR="00753B01">
        <w:rPr>
          <w:rFonts w:ascii="Times New Roman" w:hAnsi="Times New Roman" w:cs="Times New Roman"/>
        </w:rPr>
        <w:t>,</w:t>
      </w:r>
      <w:proofErr w:type="gramEnd"/>
      <w:r w:rsidR="00753B01">
        <w:rPr>
          <w:rFonts w:ascii="Times New Roman" w:hAnsi="Times New Roman" w:cs="Times New Roman"/>
        </w:rPr>
        <w:t>na integração d</w:t>
      </w:r>
      <w:r w:rsidR="00753B01" w:rsidRPr="00F43E44">
        <w:rPr>
          <w:rFonts w:ascii="Times New Roman" w:hAnsi="Times New Roman" w:cs="Times New Roman"/>
        </w:rPr>
        <w:t>e lacuna</w:t>
      </w:r>
      <w:r w:rsidR="00753B01">
        <w:rPr>
          <w:rFonts w:ascii="Times New Roman" w:hAnsi="Times New Roman" w:cs="Times New Roman"/>
        </w:rPr>
        <w:t>s.</w:t>
      </w:r>
    </w:p>
    <w:p w:rsidR="00F43E44" w:rsidRPr="00DD5E7A" w:rsidRDefault="00A34684" w:rsidP="00DD5E7A">
      <w:pPr>
        <w:spacing w:before="720" w:after="720" w:line="360" w:lineRule="auto"/>
        <w:jc w:val="both"/>
        <w:rPr>
          <w:rFonts w:ascii="Times New Roman" w:hAnsi="Times New Roman" w:cs="Times New Roman"/>
          <w:b/>
        </w:rPr>
      </w:pPr>
      <w:r w:rsidRPr="00DD5E7A">
        <w:rPr>
          <w:rFonts w:ascii="Times New Roman" w:hAnsi="Times New Roman" w:cs="Times New Roman"/>
          <w:b/>
        </w:rPr>
        <w:t>INTRODUÇÃO</w:t>
      </w:r>
    </w:p>
    <w:p w:rsidR="003C4864" w:rsidRPr="00F43E44" w:rsidRDefault="003C4864" w:rsidP="00DD5E7A">
      <w:pPr>
        <w:tabs>
          <w:tab w:val="left" w:pos="851"/>
        </w:tabs>
        <w:spacing w:after="120" w:line="360" w:lineRule="auto"/>
        <w:ind w:firstLine="708"/>
        <w:jc w:val="both"/>
        <w:rPr>
          <w:rFonts w:ascii="Times New Roman" w:hAnsi="Times New Roman" w:cs="Times New Roman"/>
        </w:rPr>
      </w:pPr>
      <w:r w:rsidRPr="00F43E44">
        <w:rPr>
          <w:rFonts w:ascii="Times New Roman" w:hAnsi="Times New Roman" w:cs="Times New Roman"/>
        </w:rPr>
        <w:t xml:space="preserve">Inicialmente, pode-se afirmar que esta temática possui nomenclatura diferenciada conforme o autor que nela concentra seus estudos. Por exemplo, em Arthur </w:t>
      </w:r>
      <w:proofErr w:type="spellStart"/>
      <w:r w:rsidRPr="00F43E44">
        <w:rPr>
          <w:rFonts w:ascii="Times New Roman" w:hAnsi="Times New Roman" w:cs="Times New Roman"/>
        </w:rPr>
        <w:t>Kaufmann</w:t>
      </w:r>
      <w:proofErr w:type="spellEnd"/>
      <w:r w:rsidRPr="00F43E44">
        <w:rPr>
          <w:rFonts w:ascii="Times New Roman" w:hAnsi="Times New Roman" w:cs="Times New Roman"/>
        </w:rPr>
        <w:t xml:space="preserve"> e Castanheira Neves, chama-se Metodologia Jurídica; em Karl </w:t>
      </w:r>
      <w:proofErr w:type="spellStart"/>
      <w:r w:rsidRPr="00F43E44">
        <w:rPr>
          <w:rFonts w:ascii="Times New Roman" w:hAnsi="Times New Roman" w:cs="Times New Roman"/>
        </w:rPr>
        <w:t>Larenz</w:t>
      </w:r>
      <w:proofErr w:type="spellEnd"/>
      <w:r w:rsidRPr="00F43E44">
        <w:rPr>
          <w:rFonts w:ascii="Times New Roman" w:hAnsi="Times New Roman" w:cs="Times New Roman"/>
        </w:rPr>
        <w:t xml:space="preserve">, Metodologia da Ciência do Direito; em Tércio Sampaio Ferraz Junior é feita a distinção em Dogmática Hermenêutica e Dogmática da Decisão; já com Fernando José Couto Pinto Bronze, fala-se </w:t>
      </w:r>
      <w:proofErr w:type="gramStart"/>
      <w:r w:rsidRPr="00F43E44">
        <w:rPr>
          <w:rFonts w:ascii="Times New Roman" w:hAnsi="Times New Roman" w:cs="Times New Roman"/>
        </w:rPr>
        <w:t>em</w:t>
      </w:r>
      <w:proofErr w:type="gramEnd"/>
      <w:r w:rsidRPr="00F43E44">
        <w:rPr>
          <w:rFonts w:ascii="Times New Roman" w:hAnsi="Times New Roman" w:cs="Times New Roman"/>
        </w:rPr>
        <w:t xml:space="preserve"> </w:t>
      </w:r>
      <w:proofErr w:type="spellStart"/>
      <w:r w:rsidRPr="00F43E44">
        <w:rPr>
          <w:rFonts w:ascii="Times New Roman" w:hAnsi="Times New Roman" w:cs="Times New Roman"/>
        </w:rPr>
        <w:t>Metodonomologia</w:t>
      </w:r>
      <w:proofErr w:type="spellEnd"/>
      <w:r w:rsidRPr="00F43E44">
        <w:rPr>
          <w:rFonts w:ascii="Times New Roman" w:hAnsi="Times New Roman" w:cs="Times New Roman"/>
        </w:rPr>
        <w:t>. Neste campo do conhecimento pergunta-se, afinal: como mobilizar o sistema jurídico a fim de solucionar um determinado problema jurídico concreto?</w:t>
      </w:r>
    </w:p>
    <w:p w:rsidR="003C4864" w:rsidRPr="00F43E44" w:rsidRDefault="00DD5E7A" w:rsidP="0029044C">
      <w:pPr>
        <w:tabs>
          <w:tab w:val="left" w:pos="851"/>
        </w:tabs>
        <w:spacing w:after="120" w:line="36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3C4864" w:rsidRPr="00F43E44">
        <w:rPr>
          <w:rFonts w:ascii="Times New Roman" w:hAnsi="Times New Roman" w:cs="Times New Roman"/>
        </w:rPr>
        <w:t xml:space="preserve">Vale ressaltar que este é o ponto culminante de toda Teoria do Direito, uma vez que qualquer idealização – </w:t>
      </w:r>
      <w:proofErr w:type="spellStart"/>
      <w:r w:rsidR="003C4864" w:rsidRPr="00F43E44">
        <w:rPr>
          <w:rFonts w:ascii="Times New Roman" w:hAnsi="Times New Roman" w:cs="Times New Roman"/>
        </w:rPr>
        <w:t>teorética</w:t>
      </w:r>
      <w:proofErr w:type="spellEnd"/>
      <w:r w:rsidR="003C4864" w:rsidRPr="00F43E44">
        <w:rPr>
          <w:rFonts w:ascii="Times New Roman" w:hAnsi="Times New Roman" w:cs="Times New Roman"/>
        </w:rPr>
        <w:t xml:space="preserve"> ou prática – tem por escopo a sua projeção na realidade. </w:t>
      </w:r>
    </w:p>
    <w:p w:rsidR="003C4864" w:rsidRPr="00F43E44" w:rsidRDefault="00DD5E7A" w:rsidP="00344706">
      <w:pPr>
        <w:spacing w:after="12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C4864" w:rsidRPr="00F43E44">
        <w:rPr>
          <w:rFonts w:ascii="Times New Roman" w:hAnsi="Times New Roman" w:cs="Times New Roman"/>
        </w:rPr>
        <w:t xml:space="preserve">Nesse sentido, Arthur </w:t>
      </w:r>
      <w:proofErr w:type="spellStart"/>
      <w:r w:rsidR="003C4864" w:rsidRPr="00F43E44">
        <w:rPr>
          <w:rFonts w:ascii="Times New Roman" w:hAnsi="Times New Roman" w:cs="Times New Roman"/>
        </w:rPr>
        <w:t>Kaufmann</w:t>
      </w:r>
      <w:proofErr w:type="spellEnd"/>
      <w:r w:rsidR="003C4864" w:rsidRPr="00F43E44">
        <w:rPr>
          <w:rFonts w:ascii="Times New Roman" w:hAnsi="Times New Roman" w:cs="Times New Roman"/>
        </w:rPr>
        <w:t xml:space="preserve"> (2009, p.160) preleciona: </w:t>
      </w:r>
    </w:p>
    <w:p w:rsidR="003C4864" w:rsidRPr="00F43E44" w:rsidRDefault="003C4864" w:rsidP="00344706">
      <w:pPr>
        <w:spacing w:after="0" w:line="240" w:lineRule="auto"/>
        <w:ind w:left="2268"/>
        <w:jc w:val="both"/>
        <w:rPr>
          <w:rFonts w:ascii="Times New Roman" w:hAnsi="Times New Roman" w:cs="Times New Roman"/>
        </w:rPr>
      </w:pPr>
      <w:r w:rsidRPr="00F43E44">
        <w:rPr>
          <w:rFonts w:ascii="Times New Roman" w:hAnsi="Times New Roman" w:cs="Times New Roman"/>
          <w:sz w:val="20"/>
          <w:szCs w:val="20"/>
        </w:rPr>
        <w:t xml:space="preserve">Nas últimas secções já se falou muito do «como» do conhecimento do direito, o que era inevitável, porque, como já se </w:t>
      </w:r>
      <w:proofErr w:type="gramStart"/>
      <w:r w:rsidRPr="00F43E44">
        <w:rPr>
          <w:rFonts w:ascii="Times New Roman" w:hAnsi="Times New Roman" w:cs="Times New Roman"/>
          <w:sz w:val="20"/>
          <w:szCs w:val="20"/>
        </w:rPr>
        <w:t>salientou,</w:t>
      </w:r>
      <w:proofErr w:type="gramEnd"/>
      <w:r w:rsidRPr="00F43E44">
        <w:rPr>
          <w:rFonts w:ascii="Times New Roman" w:hAnsi="Times New Roman" w:cs="Times New Roman"/>
          <w:sz w:val="20"/>
          <w:szCs w:val="20"/>
        </w:rPr>
        <w:t xml:space="preserve"> o «quê» do direito não pode ser discutido, sem se ter em conta o «como» da determinação do direito. Apenas se pode acentuar mais o «quê» ou realçar mais o «como». Em seguida, concentrar-nos-emos no «como» do conhecimento do direito, ocupando-nos, assim, primordialmente, da metodologia.</w:t>
      </w:r>
    </w:p>
    <w:p w:rsidR="003C4864" w:rsidRPr="00F43E44" w:rsidRDefault="0029044C" w:rsidP="00344706">
      <w:pPr>
        <w:tabs>
          <w:tab w:val="left" w:pos="851"/>
        </w:tabs>
        <w:spacing w:before="120" w:after="12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C4864" w:rsidRPr="00F43E44">
        <w:rPr>
          <w:rFonts w:ascii="Times New Roman" w:hAnsi="Times New Roman" w:cs="Times New Roman"/>
        </w:rPr>
        <w:t xml:space="preserve">Karl </w:t>
      </w:r>
      <w:proofErr w:type="spellStart"/>
      <w:r w:rsidR="003C4864" w:rsidRPr="00F43E44">
        <w:rPr>
          <w:rFonts w:ascii="Times New Roman" w:hAnsi="Times New Roman" w:cs="Times New Roman"/>
        </w:rPr>
        <w:t>Larenz</w:t>
      </w:r>
      <w:proofErr w:type="spellEnd"/>
      <w:r w:rsidR="003C4864" w:rsidRPr="00F43E44">
        <w:rPr>
          <w:rFonts w:ascii="Times New Roman" w:hAnsi="Times New Roman" w:cs="Times New Roman"/>
        </w:rPr>
        <w:t xml:space="preserve"> (1997, p.1), por sua vez, ensina nas primeiras linhas do seu livro: “Cada ciência lança mão de determinados métodos, modos de proceder, no sentido da obtenção de respostas às questões por ela suscitadas. Quais são os métodos a que recorre </w:t>
      </w:r>
      <w:proofErr w:type="gramStart"/>
      <w:r w:rsidR="003C4864" w:rsidRPr="00F43E44">
        <w:rPr>
          <w:rFonts w:ascii="Times New Roman" w:hAnsi="Times New Roman" w:cs="Times New Roman"/>
        </w:rPr>
        <w:t>a</w:t>
      </w:r>
      <w:proofErr w:type="gramEnd"/>
      <w:r w:rsidR="003C4864" w:rsidRPr="00F43E44">
        <w:rPr>
          <w:rFonts w:ascii="Times New Roman" w:hAnsi="Times New Roman" w:cs="Times New Roman"/>
        </w:rPr>
        <w:t xml:space="preserve"> ciência do Direito?”</w:t>
      </w:r>
    </w:p>
    <w:p w:rsidR="003C4864" w:rsidRPr="00F43E44" w:rsidRDefault="0029044C" w:rsidP="0029044C">
      <w:pPr>
        <w:tabs>
          <w:tab w:val="left" w:pos="851"/>
        </w:tabs>
        <w:spacing w:after="12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C4864" w:rsidRPr="00F43E44">
        <w:rPr>
          <w:rFonts w:ascii="Times New Roman" w:hAnsi="Times New Roman" w:cs="Times New Roman"/>
        </w:rPr>
        <w:t xml:space="preserve">O </w:t>
      </w:r>
      <w:r w:rsidR="003C4864" w:rsidRPr="00F43E44">
        <w:rPr>
          <w:rFonts w:ascii="Times New Roman" w:hAnsi="Times New Roman" w:cs="Times New Roman"/>
          <w:i/>
        </w:rPr>
        <w:t xml:space="preserve">caput </w:t>
      </w:r>
      <w:proofErr w:type="spellStart"/>
      <w:r w:rsidR="003C4864" w:rsidRPr="00F43E44">
        <w:rPr>
          <w:rFonts w:ascii="Times New Roman" w:hAnsi="Times New Roman" w:cs="Times New Roman"/>
          <w:i/>
        </w:rPr>
        <w:t>scholae</w:t>
      </w:r>
      <w:proofErr w:type="spellEnd"/>
      <w:r w:rsidR="003C4864" w:rsidRPr="00F43E44">
        <w:rPr>
          <w:rFonts w:ascii="Times New Roman" w:hAnsi="Times New Roman" w:cs="Times New Roman"/>
        </w:rPr>
        <w:t xml:space="preserve"> da Escola de Coimbra, professor Castanheira Neves (1993, pp.1-2) sintetiza o significado de metodologia a partir da sua raiz etimológica grega, nas seguintes palavras:</w:t>
      </w:r>
    </w:p>
    <w:p w:rsidR="003C4864" w:rsidRPr="00F43E44" w:rsidRDefault="003C4864" w:rsidP="00344706">
      <w:pPr>
        <w:spacing w:after="0" w:line="240" w:lineRule="auto"/>
        <w:ind w:left="2268"/>
        <w:jc w:val="both"/>
        <w:rPr>
          <w:rFonts w:ascii="Times New Roman" w:hAnsi="Times New Roman" w:cs="Times New Roman"/>
        </w:rPr>
      </w:pPr>
      <w:r w:rsidRPr="00F43E44">
        <w:rPr>
          <w:rFonts w:ascii="Times New Roman" w:hAnsi="Times New Roman" w:cs="Times New Roman"/>
          <w:sz w:val="20"/>
          <w:szCs w:val="20"/>
        </w:rPr>
        <w:t xml:space="preserve">Metodologia = a palavra (o discurso, a razão, o pensamento) de </w:t>
      </w:r>
      <w:proofErr w:type="spellStart"/>
      <w:r w:rsidRPr="00F43E44">
        <w:rPr>
          <w:rFonts w:ascii="Times New Roman" w:hAnsi="Times New Roman" w:cs="Times New Roman"/>
          <w:i/>
          <w:sz w:val="20"/>
          <w:szCs w:val="20"/>
        </w:rPr>
        <w:t>odos</w:t>
      </w:r>
      <w:proofErr w:type="spellEnd"/>
      <w:r w:rsidRPr="00F43E44">
        <w:rPr>
          <w:rFonts w:ascii="Times New Roman" w:hAnsi="Times New Roman" w:cs="Times New Roman"/>
          <w:sz w:val="20"/>
          <w:szCs w:val="20"/>
        </w:rPr>
        <w:t xml:space="preserve">, o caminho para além, </w:t>
      </w:r>
      <w:r w:rsidRPr="00F43E44">
        <w:rPr>
          <w:rFonts w:ascii="Times New Roman" w:hAnsi="Times New Roman" w:cs="Times New Roman"/>
          <w:i/>
          <w:sz w:val="20"/>
          <w:szCs w:val="20"/>
        </w:rPr>
        <w:t>meta</w:t>
      </w:r>
      <w:r w:rsidRPr="00F43E44">
        <w:rPr>
          <w:rFonts w:ascii="Times New Roman" w:hAnsi="Times New Roman" w:cs="Times New Roman"/>
          <w:sz w:val="20"/>
          <w:szCs w:val="20"/>
        </w:rPr>
        <w:t xml:space="preserve"> – é a raiz etimológica de </w:t>
      </w:r>
      <w:r w:rsidRPr="00F43E44">
        <w:rPr>
          <w:rFonts w:ascii="Times New Roman" w:hAnsi="Times New Roman" w:cs="Times New Roman"/>
          <w:i/>
          <w:sz w:val="20"/>
          <w:szCs w:val="20"/>
        </w:rPr>
        <w:t>metodologia</w:t>
      </w:r>
      <w:r w:rsidRPr="00F43E44">
        <w:rPr>
          <w:rFonts w:ascii="Times New Roman" w:hAnsi="Times New Roman" w:cs="Times New Roman"/>
          <w:sz w:val="20"/>
          <w:szCs w:val="20"/>
        </w:rPr>
        <w:t>. E nessa base poderá ela definir-se como a «lógica», a razão (a racionalidade) ou o pensamento de um proceder (</w:t>
      </w:r>
      <w:r w:rsidRPr="00F43E44">
        <w:rPr>
          <w:rFonts w:ascii="Times New Roman" w:hAnsi="Times New Roman" w:cs="Times New Roman"/>
          <w:i/>
          <w:sz w:val="20"/>
          <w:szCs w:val="20"/>
        </w:rPr>
        <w:t>modos</w:t>
      </w:r>
      <w:r w:rsidRPr="00F43E44">
        <w:rPr>
          <w:rFonts w:ascii="Times New Roman" w:hAnsi="Times New Roman" w:cs="Times New Roman"/>
          <w:sz w:val="20"/>
          <w:szCs w:val="20"/>
        </w:rPr>
        <w:t xml:space="preserve">, processo) que visa um fim específico ou se propõe </w:t>
      </w:r>
      <w:proofErr w:type="gramStart"/>
      <w:r w:rsidRPr="00F43E44">
        <w:rPr>
          <w:rFonts w:ascii="Times New Roman" w:hAnsi="Times New Roman" w:cs="Times New Roman"/>
          <w:sz w:val="20"/>
          <w:szCs w:val="20"/>
        </w:rPr>
        <w:t>um certo</w:t>
      </w:r>
      <w:proofErr w:type="gramEnd"/>
      <w:r w:rsidRPr="00F43E44">
        <w:rPr>
          <w:rFonts w:ascii="Times New Roman" w:hAnsi="Times New Roman" w:cs="Times New Roman"/>
          <w:sz w:val="20"/>
          <w:szCs w:val="20"/>
        </w:rPr>
        <w:t xml:space="preserve"> objetivo. Mas em termos de o </w:t>
      </w:r>
      <w:r w:rsidRPr="00F43E44">
        <w:rPr>
          <w:rFonts w:ascii="Times New Roman" w:hAnsi="Times New Roman" w:cs="Times New Roman"/>
          <w:i/>
          <w:sz w:val="20"/>
          <w:szCs w:val="20"/>
        </w:rPr>
        <w:t>logos</w:t>
      </w:r>
      <w:r w:rsidRPr="00F43E44">
        <w:rPr>
          <w:rFonts w:ascii="Times New Roman" w:hAnsi="Times New Roman" w:cs="Times New Roman"/>
          <w:sz w:val="20"/>
          <w:szCs w:val="20"/>
        </w:rPr>
        <w:t xml:space="preserve">, como o «condutor» (enquanto o fundamento, enquanto o </w:t>
      </w:r>
      <w:proofErr w:type="spellStart"/>
      <w:r w:rsidRPr="00F43E44">
        <w:rPr>
          <w:rFonts w:ascii="Times New Roman" w:hAnsi="Times New Roman" w:cs="Times New Roman"/>
          <w:sz w:val="20"/>
          <w:szCs w:val="20"/>
        </w:rPr>
        <w:t>regulativo</w:t>
      </w:r>
      <w:proofErr w:type="spellEnd"/>
      <w:r w:rsidRPr="00F43E44">
        <w:rPr>
          <w:rFonts w:ascii="Times New Roman" w:hAnsi="Times New Roman" w:cs="Times New Roman"/>
          <w:sz w:val="20"/>
          <w:szCs w:val="20"/>
        </w:rPr>
        <w:t xml:space="preserve">, enquanto o determinante, etc.), se destacar numa relação intencional do </w:t>
      </w:r>
      <w:proofErr w:type="spellStart"/>
      <w:r w:rsidRPr="00F43E44">
        <w:rPr>
          <w:rFonts w:ascii="Times New Roman" w:hAnsi="Times New Roman" w:cs="Times New Roman"/>
          <w:sz w:val="20"/>
          <w:szCs w:val="20"/>
        </w:rPr>
        <w:t>metodos</w:t>
      </w:r>
      <w:proofErr w:type="spellEnd"/>
      <w:r w:rsidRPr="00F43E44">
        <w:rPr>
          <w:rFonts w:ascii="Times New Roman" w:hAnsi="Times New Roman" w:cs="Times New Roman"/>
          <w:sz w:val="20"/>
          <w:szCs w:val="20"/>
        </w:rPr>
        <w:t xml:space="preserve"> (o </w:t>
      </w:r>
      <w:proofErr w:type="spellStart"/>
      <w:r w:rsidRPr="00F43E44">
        <w:rPr>
          <w:rFonts w:ascii="Times New Roman" w:hAnsi="Times New Roman" w:cs="Times New Roman"/>
          <w:i/>
          <w:sz w:val="20"/>
          <w:szCs w:val="20"/>
        </w:rPr>
        <w:t>modus</w:t>
      </w:r>
      <w:proofErr w:type="spellEnd"/>
      <w:r w:rsidRPr="00F43E44">
        <w:rPr>
          <w:rFonts w:ascii="Times New Roman" w:hAnsi="Times New Roman" w:cs="Times New Roman"/>
          <w:sz w:val="20"/>
          <w:szCs w:val="20"/>
        </w:rPr>
        <w:t xml:space="preserve"> ou o processo finalizado), e então a metodologia é ou propõe-se ser a </w:t>
      </w:r>
      <w:r w:rsidRPr="00F43E44">
        <w:rPr>
          <w:rFonts w:ascii="Times New Roman" w:hAnsi="Times New Roman" w:cs="Times New Roman"/>
          <w:i/>
          <w:sz w:val="20"/>
          <w:szCs w:val="20"/>
        </w:rPr>
        <w:t>razão intencional de um método</w:t>
      </w:r>
      <w:r w:rsidRPr="00F43E44">
        <w:rPr>
          <w:rFonts w:ascii="Times New Roman" w:hAnsi="Times New Roman" w:cs="Times New Roman"/>
          <w:sz w:val="20"/>
          <w:szCs w:val="20"/>
        </w:rPr>
        <w:t xml:space="preserve"> – a racionalidade ou o pensamento de (ou sobre) esse método.</w:t>
      </w:r>
    </w:p>
    <w:p w:rsidR="003C4864" w:rsidRPr="00F43E44" w:rsidRDefault="0029044C" w:rsidP="00344706">
      <w:pPr>
        <w:tabs>
          <w:tab w:val="left" w:pos="851"/>
        </w:tabs>
        <w:spacing w:before="120" w:after="12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C4864" w:rsidRPr="00F43E44">
        <w:rPr>
          <w:rFonts w:ascii="Times New Roman" w:hAnsi="Times New Roman" w:cs="Times New Roman"/>
        </w:rPr>
        <w:t xml:space="preserve">Feita esta introdução </w:t>
      </w:r>
      <w:r w:rsidR="000F6B1F">
        <w:rPr>
          <w:rFonts w:ascii="Times New Roman" w:hAnsi="Times New Roman" w:cs="Times New Roman"/>
        </w:rPr>
        <w:t>ao tema, passamos para o estudo da Jurisprudência dos Interesses, uma importante orientação</w:t>
      </w:r>
      <w:r w:rsidR="003C4864" w:rsidRPr="00F43E44">
        <w:rPr>
          <w:rFonts w:ascii="Times New Roman" w:hAnsi="Times New Roman" w:cs="Times New Roman"/>
        </w:rPr>
        <w:t xml:space="preserve"> metodológica de </w:t>
      </w:r>
      <w:proofErr w:type="spellStart"/>
      <w:r w:rsidR="003C4864" w:rsidRPr="00F43E44">
        <w:rPr>
          <w:rFonts w:ascii="Times New Roman" w:hAnsi="Times New Roman" w:cs="Times New Roman"/>
        </w:rPr>
        <w:t>cariz</w:t>
      </w:r>
      <w:proofErr w:type="spellEnd"/>
      <w:r w:rsidR="003C4864" w:rsidRPr="00F43E44">
        <w:rPr>
          <w:rFonts w:ascii="Times New Roman" w:hAnsi="Times New Roman" w:cs="Times New Roman"/>
        </w:rPr>
        <w:t xml:space="preserve"> prático, que, como acentuado pelos autores citados, busca orientar a realização prática da Teoria do Direito na solução dos</w:t>
      </w:r>
      <w:r>
        <w:rPr>
          <w:rFonts w:ascii="Times New Roman" w:hAnsi="Times New Roman" w:cs="Times New Roman"/>
        </w:rPr>
        <w:t xml:space="preserve"> problemas jurídicos concretos.</w:t>
      </w:r>
    </w:p>
    <w:p w:rsidR="00344706" w:rsidRDefault="00344706" w:rsidP="00344706">
      <w:pPr>
        <w:spacing w:before="720" w:after="0" w:line="360" w:lineRule="auto"/>
        <w:jc w:val="both"/>
        <w:rPr>
          <w:rFonts w:ascii="Times New Roman" w:hAnsi="Times New Roman" w:cs="Times New Roman"/>
        </w:rPr>
      </w:pPr>
      <w:r w:rsidRPr="00EB5A7F">
        <w:rPr>
          <w:rFonts w:ascii="Times New Roman" w:hAnsi="Times New Roman" w:cs="Times New Roman"/>
          <w:b/>
        </w:rPr>
        <w:t>PALAVRAS-CHAVE</w:t>
      </w:r>
      <w:r>
        <w:rPr>
          <w:rFonts w:ascii="Times New Roman" w:hAnsi="Times New Roman" w:cs="Times New Roman"/>
        </w:rPr>
        <w:t>: Metodologia Jurídica; Jurisprudência dos Interesses; Finalidade.</w:t>
      </w:r>
    </w:p>
    <w:p w:rsidR="003C4864" w:rsidRPr="0029044C" w:rsidRDefault="00A34684" w:rsidP="0029044C">
      <w:pPr>
        <w:spacing w:before="720" w:after="720" w:line="360" w:lineRule="auto"/>
        <w:jc w:val="both"/>
        <w:rPr>
          <w:rFonts w:ascii="Times New Roman" w:hAnsi="Times New Roman" w:cs="Times New Roman"/>
        </w:rPr>
      </w:pPr>
      <w:r w:rsidRPr="0029044C">
        <w:rPr>
          <w:rFonts w:ascii="Times New Roman" w:hAnsi="Times New Roman" w:cs="Times New Roman"/>
          <w:b/>
        </w:rPr>
        <w:t>A JURISPRUDÊNCIA DOS INTERESSES E A FINALIDADE DO DIREITO</w:t>
      </w:r>
    </w:p>
    <w:p w:rsidR="003C4864" w:rsidRPr="00F43E44" w:rsidRDefault="0029044C" w:rsidP="0029044C">
      <w:pPr>
        <w:tabs>
          <w:tab w:val="left" w:pos="851"/>
        </w:tabs>
        <w:spacing w:after="120" w:line="360" w:lineRule="auto"/>
        <w:ind w:firstLine="851"/>
        <w:jc w:val="both"/>
        <w:rPr>
          <w:rFonts w:ascii="Times New Roman" w:hAnsi="Times New Roman" w:cs="Times New Roman"/>
        </w:rPr>
      </w:pPr>
      <w:r>
        <w:rPr>
          <w:rFonts w:ascii="Times New Roman" w:hAnsi="Times New Roman" w:cs="Times New Roman"/>
        </w:rPr>
        <w:t xml:space="preserve"> </w:t>
      </w:r>
      <w:r w:rsidR="003C4864" w:rsidRPr="00F43E44">
        <w:rPr>
          <w:rFonts w:ascii="Times New Roman" w:hAnsi="Times New Roman" w:cs="Times New Roman"/>
        </w:rPr>
        <w:t xml:space="preserve">A Jurisprudência dos interesses inspirou-se na doutrina do finalismo jurídico de perspectiva sociológico-pragmática, exposta pelo segundo </w:t>
      </w:r>
      <w:proofErr w:type="spellStart"/>
      <w:r w:rsidR="003C4864" w:rsidRPr="00F43E44">
        <w:rPr>
          <w:rFonts w:ascii="Times New Roman" w:hAnsi="Times New Roman" w:cs="Times New Roman"/>
        </w:rPr>
        <w:t>Ihering</w:t>
      </w:r>
      <w:proofErr w:type="spellEnd"/>
      <w:r w:rsidR="003C4864" w:rsidRPr="00F43E44">
        <w:rPr>
          <w:rFonts w:ascii="Times New Roman" w:hAnsi="Times New Roman" w:cs="Times New Roman"/>
        </w:rPr>
        <w:t xml:space="preserve">. Esta escola alemã </w:t>
      </w:r>
      <w:r w:rsidR="003C4864" w:rsidRPr="00F43E44">
        <w:rPr>
          <w:rFonts w:ascii="Times New Roman" w:hAnsi="Times New Roman" w:cs="Times New Roman"/>
        </w:rPr>
        <w:lastRenderedPageBreak/>
        <w:t xml:space="preserve">contrariou a Jurisprudência dos Conceitos e foi capitaneada por </w:t>
      </w:r>
      <w:proofErr w:type="spellStart"/>
      <w:proofErr w:type="gramStart"/>
      <w:r w:rsidR="003C4864" w:rsidRPr="00F43E44">
        <w:rPr>
          <w:rFonts w:ascii="Times New Roman" w:hAnsi="Times New Roman" w:cs="Times New Roman"/>
        </w:rPr>
        <w:t>PhilippHeck</w:t>
      </w:r>
      <w:proofErr w:type="spellEnd"/>
      <w:proofErr w:type="gramEnd"/>
      <w:r w:rsidR="003C4864" w:rsidRPr="00F43E44">
        <w:rPr>
          <w:rFonts w:ascii="Times New Roman" w:hAnsi="Times New Roman" w:cs="Times New Roman"/>
        </w:rPr>
        <w:t xml:space="preserve">, em torno da também chamada Escola de </w:t>
      </w:r>
      <w:proofErr w:type="spellStart"/>
      <w:r w:rsidR="003C4864" w:rsidRPr="00F43E44">
        <w:rPr>
          <w:rFonts w:ascii="Times New Roman" w:hAnsi="Times New Roman" w:cs="Times New Roman"/>
        </w:rPr>
        <w:t>Tübingen</w:t>
      </w:r>
      <w:proofErr w:type="spellEnd"/>
      <w:r w:rsidR="003C4864" w:rsidRPr="00F43E44">
        <w:rPr>
          <w:rFonts w:ascii="Times New Roman" w:hAnsi="Times New Roman" w:cs="Times New Roman"/>
        </w:rPr>
        <w:t>.</w:t>
      </w:r>
      <w:r w:rsidR="003C4864" w:rsidRPr="00F43E44">
        <w:rPr>
          <w:rStyle w:val="ncoradanotaderodap"/>
          <w:rFonts w:ascii="Times New Roman" w:hAnsi="Times New Roman" w:cs="Times New Roman"/>
        </w:rPr>
        <w:footnoteReference w:id="2"/>
      </w:r>
    </w:p>
    <w:p w:rsidR="003C4864" w:rsidRPr="00F43E44" w:rsidRDefault="003C4864" w:rsidP="0029044C">
      <w:pPr>
        <w:tabs>
          <w:tab w:val="left" w:pos="851"/>
        </w:tabs>
        <w:spacing w:after="120" w:line="360" w:lineRule="auto"/>
        <w:ind w:firstLine="851"/>
        <w:jc w:val="both"/>
        <w:rPr>
          <w:rFonts w:ascii="Times New Roman" w:hAnsi="Times New Roman" w:cs="Times New Roman"/>
        </w:rPr>
      </w:pPr>
      <w:r w:rsidRPr="00F43E44">
        <w:rPr>
          <w:rFonts w:ascii="Times New Roman" w:hAnsi="Times New Roman" w:cs="Times New Roman"/>
        </w:rPr>
        <w:t xml:space="preserve">O verdadeiro precursor destes estudos é </w:t>
      </w:r>
      <w:proofErr w:type="spellStart"/>
      <w:r w:rsidRPr="00F43E44">
        <w:rPr>
          <w:rFonts w:ascii="Times New Roman" w:hAnsi="Times New Roman" w:cs="Times New Roman"/>
        </w:rPr>
        <w:t>Ihering</w:t>
      </w:r>
      <w:proofErr w:type="spellEnd"/>
      <w:r w:rsidRPr="00F43E44">
        <w:rPr>
          <w:rFonts w:ascii="Times New Roman" w:hAnsi="Times New Roman" w:cs="Times New Roman"/>
        </w:rPr>
        <w:t xml:space="preserve">, na segunda fase de suas reflexões. Se inicialmente seu empenho deu lugar à Jurisprudência dos Conceitos, a reviravolta de sua posição se deu posteriormente com o entendimento pragmático e </w:t>
      </w:r>
      <w:proofErr w:type="spellStart"/>
      <w:r w:rsidRPr="00F43E44">
        <w:rPr>
          <w:rFonts w:ascii="Times New Roman" w:hAnsi="Times New Roman" w:cs="Times New Roman"/>
        </w:rPr>
        <w:t>finalístico</w:t>
      </w:r>
      <w:proofErr w:type="spellEnd"/>
      <w:r w:rsidRPr="00F43E44">
        <w:rPr>
          <w:rFonts w:ascii="Times New Roman" w:hAnsi="Times New Roman" w:cs="Times New Roman"/>
        </w:rPr>
        <w:t xml:space="preserve">. Consoante </w:t>
      </w:r>
      <w:proofErr w:type="gramStart"/>
      <w:r w:rsidRPr="00F43E44">
        <w:rPr>
          <w:rFonts w:ascii="Times New Roman" w:hAnsi="Times New Roman" w:cs="Times New Roman"/>
        </w:rPr>
        <w:t>a</w:t>
      </w:r>
      <w:proofErr w:type="gramEnd"/>
      <w:r w:rsidRPr="00F43E44">
        <w:rPr>
          <w:rFonts w:ascii="Times New Roman" w:hAnsi="Times New Roman" w:cs="Times New Roman"/>
        </w:rPr>
        <w:t xml:space="preserve"> explanação de Camargo (2003, p.93) “de </w:t>
      </w:r>
      <w:proofErr w:type="spellStart"/>
      <w:r w:rsidRPr="00F43E44">
        <w:rPr>
          <w:rFonts w:ascii="Times New Roman" w:hAnsi="Times New Roman" w:cs="Times New Roman"/>
        </w:rPr>
        <w:t>Jhering</w:t>
      </w:r>
      <w:proofErr w:type="spellEnd"/>
      <w:r w:rsidRPr="00F43E44">
        <w:rPr>
          <w:rFonts w:ascii="Times New Roman" w:hAnsi="Times New Roman" w:cs="Times New Roman"/>
        </w:rPr>
        <w:t xml:space="preserve">, </w:t>
      </w:r>
      <w:proofErr w:type="spellStart"/>
      <w:r w:rsidRPr="00F43E44">
        <w:rPr>
          <w:rFonts w:ascii="Times New Roman" w:hAnsi="Times New Roman" w:cs="Times New Roman"/>
        </w:rPr>
        <w:t>Heck</w:t>
      </w:r>
      <w:proofErr w:type="spellEnd"/>
      <w:r w:rsidRPr="00F43E44">
        <w:rPr>
          <w:rFonts w:ascii="Times New Roman" w:hAnsi="Times New Roman" w:cs="Times New Roman"/>
        </w:rPr>
        <w:t xml:space="preserve"> incorpora não só a ideia de direito como </w:t>
      </w:r>
      <w:r w:rsidRPr="00F43E44">
        <w:rPr>
          <w:rFonts w:ascii="Times New Roman" w:hAnsi="Times New Roman" w:cs="Times New Roman"/>
          <w:i/>
        </w:rPr>
        <w:t>prática</w:t>
      </w:r>
      <w:r w:rsidRPr="00F43E44">
        <w:rPr>
          <w:rFonts w:ascii="Times New Roman" w:hAnsi="Times New Roman" w:cs="Times New Roman"/>
        </w:rPr>
        <w:t xml:space="preserve">, analisando-o como “função judicial”, mas também a ideia de </w:t>
      </w:r>
      <w:r w:rsidRPr="00F43E44">
        <w:rPr>
          <w:rFonts w:ascii="Times New Roman" w:hAnsi="Times New Roman" w:cs="Times New Roman"/>
          <w:i/>
        </w:rPr>
        <w:t>fim</w:t>
      </w:r>
      <w:r w:rsidRPr="00F43E44">
        <w:rPr>
          <w:rFonts w:ascii="Times New Roman" w:hAnsi="Times New Roman" w:cs="Times New Roman"/>
        </w:rPr>
        <w:t xml:space="preserve">, como </w:t>
      </w:r>
      <w:r w:rsidRPr="00F43E44">
        <w:rPr>
          <w:rFonts w:ascii="Times New Roman" w:hAnsi="Times New Roman" w:cs="Times New Roman"/>
          <w:i/>
        </w:rPr>
        <w:t>interesse</w:t>
      </w:r>
      <w:r w:rsidRPr="00F43E44">
        <w:rPr>
          <w:rFonts w:ascii="Times New Roman" w:hAnsi="Times New Roman" w:cs="Times New Roman"/>
        </w:rPr>
        <w:t>.”</w:t>
      </w:r>
      <w:r w:rsidRPr="00F43E44">
        <w:rPr>
          <w:rStyle w:val="ncoradanotaderodap"/>
          <w:rFonts w:ascii="Times New Roman" w:hAnsi="Times New Roman" w:cs="Times New Roman"/>
        </w:rPr>
        <w:footnoteReference w:id="3"/>
      </w:r>
      <w:r w:rsidRPr="00F43E44">
        <w:rPr>
          <w:rFonts w:ascii="Times New Roman" w:hAnsi="Times New Roman" w:cs="Times New Roman"/>
        </w:rPr>
        <w:t xml:space="preserve"> E mais a frente complementa o pensamento no sentido de que a atividade criadora do juiz, para além de um mero conhecimento e subsunção entre a lei e o fato, constitui numa pesquisa histórica dos interesses postos na lei pelo legislador a fim de que, devidamente apurado pelo conteúdo emocional do próprio juiz, seja formulada a adequada decisão às necessidades práticas da vida.</w:t>
      </w:r>
    </w:p>
    <w:p w:rsidR="003C4864" w:rsidRPr="00F43E44" w:rsidRDefault="003C4864" w:rsidP="0029044C">
      <w:pPr>
        <w:tabs>
          <w:tab w:val="left" w:pos="851"/>
        </w:tabs>
        <w:spacing w:after="120" w:line="360" w:lineRule="auto"/>
        <w:ind w:firstLine="851"/>
        <w:jc w:val="both"/>
        <w:rPr>
          <w:rFonts w:ascii="Times New Roman" w:hAnsi="Times New Roman" w:cs="Times New Roman"/>
        </w:rPr>
      </w:pPr>
      <w:r w:rsidRPr="00F43E44">
        <w:rPr>
          <w:rFonts w:ascii="Times New Roman" w:hAnsi="Times New Roman" w:cs="Times New Roman"/>
        </w:rPr>
        <w:t xml:space="preserve">Isso quer dizer, diferente dos excessos do Movimento do direito livre, que a Jurisprudência dos Interesses manteve o postulado da obediência do juiz à lei, mas sob uma nova fundamentação, conforme apresenta Luís Vale (2010, p.74). Por um lado, a lei deveria ser concebida não como um comando </w:t>
      </w:r>
      <w:proofErr w:type="spellStart"/>
      <w:r w:rsidRPr="00F43E44">
        <w:rPr>
          <w:rFonts w:ascii="Times New Roman" w:hAnsi="Times New Roman" w:cs="Times New Roman"/>
        </w:rPr>
        <w:t>impositivo-voluntaristicamente</w:t>
      </w:r>
      <w:proofErr w:type="spellEnd"/>
      <w:r w:rsidRPr="00F43E44">
        <w:rPr>
          <w:rFonts w:ascii="Times New Roman" w:hAnsi="Times New Roman" w:cs="Times New Roman"/>
        </w:rPr>
        <w:t xml:space="preserve">, mas como a expressão dos interesses da coletividade, com uma dimensão material que justifica sua impostação normativa. Por outro lado, a obediência à lei não devia ser cega, como numa automática operação </w:t>
      </w:r>
      <w:proofErr w:type="spellStart"/>
      <w:r w:rsidRPr="00F43E44">
        <w:rPr>
          <w:rFonts w:ascii="Times New Roman" w:hAnsi="Times New Roman" w:cs="Times New Roman"/>
        </w:rPr>
        <w:t>subsuntiva</w:t>
      </w:r>
      <w:proofErr w:type="spellEnd"/>
      <w:r w:rsidRPr="00F43E44">
        <w:rPr>
          <w:rFonts w:ascii="Times New Roman" w:hAnsi="Times New Roman" w:cs="Times New Roman"/>
        </w:rPr>
        <w:t xml:space="preserve">, mas preocupada em alcançar os interesses que materialmente </w:t>
      </w:r>
      <w:proofErr w:type="spellStart"/>
      <w:r w:rsidRPr="00F43E44">
        <w:rPr>
          <w:rFonts w:ascii="Times New Roman" w:hAnsi="Times New Roman" w:cs="Times New Roman"/>
        </w:rPr>
        <w:t>densificam</w:t>
      </w:r>
      <w:proofErr w:type="spellEnd"/>
      <w:r w:rsidRPr="00F43E44">
        <w:rPr>
          <w:rFonts w:ascii="Times New Roman" w:hAnsi="Times New Roman" w:cs="Times New Roman"/>
        </w:rPr>
        <w:t xml:space="preserve"> a norma jurídica e por isso a atividade hermenêutica </w:t>
      </w:r>
      <w:proofErr w:type="spellStart"/>
      <w:r w:rsidRPr="00F43E44">
        <w:rPr>
          <w:rFonts w:ascii="Times New Roman" w:hAnsi="Times New Roman" w:cs="Times New Roman"/>
        </w:rPr>
        <w:t>constituia</w:t>
      </w:r>
      <w:proofErr w:type="spellEnd"/>
      <w:r w:rsidRPr="00F43E44">
        <w:rPr>
          <w:rFonts w:ascii="Times New Roman" w:hAnsi="Times New Roman" w:cs="Times New Roman"/>
        </w:rPr>
        <w:t xml:space="preserve"> uma «obediência pensante» com o escopo de resolver os conflitos de interesses juridicamente relevantes.</w:t>
      </w:r>
    </w:p>
    <w:p w:rsidR="003C4864" w:rsidRPr="00F43E44" w:rsidRDefault="003C4864" w:rsidP="0029044C">
      <w:pPr>
        <w:tabs>
          <w:tab w:val="left" w:pos="851"/>
        </w:tabs>
        <w:spacing w:after="120" w:line="360" w:lineRule="auto"/>
        <w:ind w:firstLine="851"/>
        <w:jc w:val="both"/>
        <w:rPr>
          <w:rFonts w:ascii="Times New Roman" w:hAnsi="Times New Roman" w:cs="Times New Roman"/>
        </w:rPr>
      </w:pPr>
      <w:r w:rsidRPr="00F43E44">
        <w:rPr>
          <w:rFonts w:ascii="Times New Roman" w:hAnsi="Times New Roman" w:cs="Times New Roman"/>
        </w:rPr>
        <w:t xml:space="preserve">Dessa forma, Pinto Bronze (2010, p.810) aponta como notas essenciais a se ter em mente, pois representaram o maior contributo por parte da </w:t>
      </w:r>
      <w:proofErr w:type="spellStart"/>
      <w:r w:rsidRPr="00F43E44">
        <w:rPr>
          <w:rFonts w:ascii="Times New Roman" w:hAnsi="Times New Roman" w:cs="Times New Roman"/>
          <w:i/>
        </w:rPr>
        <w:t>Interessenjurisprudenz</w:t>
      </w:r>
      <w:proofErr w:type="spellEnd"/>
      <w:r w:rsidRPr="00F43E44">
        <w:rPr>
          <w:rFonts w:ascii="Times New Roman" w:hAnsi="Times New Roman" w:cs="Times New Roman"/>
        </w:rPr>
        <w:t xml:space="preserve">: a compreensão da «vontade normativa» e a possibilidade de se fazer «interpretação corretiva». </w:t>
      </w:r>
      <w:r w:rsidRPr="00F43E44">
        <w:rPr>
          <w:rFonts w:ascii="Times New Roman" w:hAnsi="Times New Roman" w:cs="Times New Roman"/>
        </w:rPr>
        <w:lastRenderedPageBreak/>
        <w:t xml:space="preserve">Em primeiro lugar, investigar a lei mediante a ponderação de interesses que materialmente </w:t>
      </w:r>
      <w:proofErr w:type="spellStart"/>
      <w:r w:rsidRPr="00F43E44">
        <w:rPr>
          <w:rFonts w:ascii="Times New Roman" w:hAnsi="Times New Roman" w:cs="Times New Roman"/>
        </w:rPr>
        <w:t>constituiam</w:t>
      </w:r>
      <w:proofErr w:type="spellEnd"/>
      <w:r w:rsidRPr="00F43E44">
        <w:rPr>
          <w:rFonts w:ascii="Times New Roman" w:hAnsi="Times New Roman" w:cs="Times New Roman"/>
        </w:rPr>
        <w:t xml:space="preserve"> uma finalidade problemática para que </w:t>
      </w:r>
      <w:proofErr w:type="gramStart"/>
      <w:r w:rsidRPr="00F43E44">
        <w:rPr>
          <w:rFonts w:ascii="Times New Roman" w:hAnsi="Times New Roman" w:cs="Times New Roman"/>
        </w:rPr>
        <w:t>fora</w:t>
      </w:r>
      <w:proofErr w:type="gramEnd"/>
      <w:r w:rsidRPr="00F43E44">
        <w:rPr>
          <w:rFonts w:ascii="Times New Roman" w:hAnsi="Times New Roman" w:cs="Times New Roman"/>
        </w:rPr>
        <w:t xml:space="preserve"> instituída, era a forma de se encontrar a vontade da norma. Neste ângulo, inclusive o caso-problema </w:t>
      </w:r>
      <w:proofErr w:type="spellStart"/>
      <w:r w:rsidRPr="00F43E44">
        <w:rPr>
          <w:rFonts w:ascii="Times New Roman" w:hAnsi="Times New Roman" w:cs="Times New Roman"/>
        </w:rPr>
        <w:t>decidendo</w:t>
      </w:r>
      <w:proofErr w:type="spellEnd"/>
      <w:r w:rsidRPr="00F43E44">
        <w:rPr>
          <w:rFonts w:ascii="Times New Roman" w:hAnsi="Times New Roman" w:cs="Times New Roman"/>
        </w:rPr>
        <w:t xml:space="preserve"> era também analisado, de modo que uma intencionalidade problemática dele poderia ser extraída. Quando o conflito de interesses decidido pelo legislador na norma fosse semelhante ao conflito de interesses constitutivo da controvérsia concreta então a resolução era admissível.</w:t>
      </w:r>
    </w:p>
    <w:p w:rsidR="003C4864" w:rsidRPr="00F43E44" w:rsidRDefault="003C4864" w:rsidP="00344706">
      <w:pPr>
        <w:tabs>
          <w:tab w:val="left" w:pos="851"/>
        </w:tabs>
        <w:spacing w:after="120" w:line="360" w:lineRule="auto"/>
        <w:ind w:firstLine="851"/>
        <w:jc w:val="both"/>
        <w:rPr>
          <w:rFonts w:ascii="Times New Roman" w:hAnsi="Times New Roman" w:cs="Times New Roman"/>
        </w:rPr>
      </w:pPr>
      <w:r w:rsidRPr="00F43E44">
        <w:rPr>
          <w:rFonts w:ascii="Times New Roman" w:hAnsi="Times New Roman" w:cs="Times New Roman"/>
        </w:rPr>
        <w:t xml:space="preserve">Por seu turno, e em segundo lugar, se não houvesse correspondência entre os dois </w:t>
      </w:r>
      <w:proofErr w:type="spellStart"/>
      <w:r w:rsidRPr="00F43E44">
        <w:rPr>
          <w:rFonts w:ascii="Times New Roman" w:hAnsi="Times New Roman" w:cs="Times New Roman"/>
        </w:rPr>
        <w:t>pólos</w:t>
      </w:r>
      <w:proofErr w:type="spellEnd"/>
      <w:r w:rsidRPr="00F43E44">
        <w:rPr>
          <w:rFonts w:ascii="Times New Roman" w:hAnsi="Times New Roman" w:cs="Times New Roman"/>
        </w:rPr>
        <w:t xml:space="preserve"> (lei e o caso), era autorizada a interpretação corretiva, ou seja, a possibilidade de o </w:t>
      </w:r>
      <w:proofErr w:type="spellStart"/>
      <w:r w:rsidRPr="00F43E44">
        <w:rPr>
          <w:rFonts w:ascii="Times New Roman" w:hAnsi="Times New Roman" w:cs="Times New Roman"/>
        </w:rPr>
        <w:t>decidente</w:t>
      </w:r>
      <w:proofErr w:type="spellEnd"/>
      <w:r w:rsidRPr="00F43E44">
        <w:rPr>
          <w:rFonts w:ascii="Times New Roman" w:hAnsi="Times New Roman" w:cs="Times New Roman"/>
        </w:rPr>
        <w:t xml:space="preserve"> desrespeitar (preterir) frontalmente o teor semântico-sintático das normas para respeitar (realizar) o seu sentido prático-normativo. Sobre esta nota, vale a pena destacar pelo menos uma ilustração</w:t>
      </w:r>
      <w:r w:rsidRPr="00F43E44">
        <w:rPr>
          <w:rStyle w:val="ncoradanotaderodap"/>
          <w:rFonts w:ascii="Times New Roman" w:hAnsi="Times New Roman" w:cs="Times New Roman"/>
        </w:rPr>
        <w:footnoteReference w:id="4"/>
      </w:r>
      <w:r w:rsidRPr="00F43E44">
        <w:rPr>
          <w:rFonts w:ascii="Times New Roman" w:hAnsi="Times New Roman" w:cs="Times New Roman"/>
        </w:rPr>
        <w:t xml:space="preserve"> do que se trata este posicionamento metodológico.</w:t>
      </w:r>
    </w:p>
    <w:tbl>
      <w:tblPr>
        <w:tblW w:w="0" w:type="auto"/>
        <w:tblBorders>
          <w:right w:val="single" w:sz="4" w:space="0" w:color="000001"/>
          <w:insideV w:val="single" w:sz="4" w:space="0" w:color="000001"/>
        </w:tblBorders>
        <w:tblCellMar>
          <w:left w:w="113" w:type="dxa"/>
        </w:tblCellMar>
        <w:tblLook w:val="04A0"/>
      </w:tblPr>
      <w:tblGrid>
        <w:gridCol w:w="7272"/>
        <w:gridCol w:w="1683"/>
      </w:tblGrid>
      <w:tr w:rsidR="003C4864" w:rsidRPr="00F43E44" w:rsidTr="0066755F">
        <w:trPr>
          <w:trHeight w:val="1485"/>
        </w:trPr>
        <w:tc>
          <w:tcPr>
            <w:tcW w:w="7272" w:type="dxa"/>
            <w:tcBorders>
              <w:right w:val="single" w:sz="4" w:space="0" w:color="000001"/>
            </w:tcBorders>
            <w:shd w:val="clear" w:color="auto" w:fill="auto"/>
          </w:tcPr>
          <w:p w:rsidR="003C4864" w:rsidRPr="00F43E44" w:rsidRDefault="003C4864" w:rsidP="0029044C">
            <w:pPr>
              <w:spacing w:after="120" w:line="360" w:lineRule="auto"/>
              <w:ind w:firstLine="851"/>
              <w:jc w:val="both"/>
              <w:rPr>
                <w:rFonts w:ascii="Times New Roman" w:hAnsi="Times New Roman" w:cs="Times New Roman"/>
              </w:rPr>
            </w:pPr>
            <w:r w:rsidRPr="00F43E44">
              <w:rPr>
                <w:rFonts w:ascii="Times New Roman" w:hAnsi="Times New Roman" w:cs="Times New Roman"/>
              </w:rPr>
              <w:t>Numa estação, todos os vagões de trem possuem a seguinte imagem colada nas portas. Se, por acaso, alguém surgir com um enorme urso, pergunta-se: devem os funcionários de serviço permitir a entrada do animal com o dono ou não?</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4864" w:rsidRPr="00F43E44" w:rsidRDefault="0066755F" w:rsidP="00F84DC5">
            <w:pPr>
              <w:spacing w:after="0" w:line="100" w:lineRule="atLeast"/>
              <w:jc w:val="both"/>
              <w:rPr>
                <w:rFonts w:ascii="Times New Roman" w:hAnsi="Times New Roman" w:cs="Times New Roman"/>
              </w:rPr>
            </w:pPr>
            <w:r w:rsidRPr="00F43E44">
              <w:rPr>
                <w:rFonts w:ascii="Times New Roman" w:hAnsi="Times New Roman" w:cs="Times New Roman"/>
                <w:noProof/>
                <w:lang w:eastAsia="pt-BR"/>
              </w:rPr>
              <w:drawing>
                <wp:anchor distT="0" distB="0" distL="0" distR="0" simplePos="0" relativeHeight="251659264" behindDoc="0" locked="0" layoutInCell="1" allowOverlap="1">
                  <wp:simplePos x="0" y="0"/>
                  <wp:positionH relativeFrom="character">
                    <wp:posOffset>106045</wp:posOffset>
                  </wp:positionH>
                  <wp:positionV relativeFrom="line">
                    <wp:posOffset>10160</wp:posOffset>
                  </wp:positionV>
                  <wp:extent cx="830580" cy="829310"/>
                  <wp:effectExtent l="0" t="0" r="7620" b="8890"/>
                  <wp:wrapSquare wrapText="bothSides"/>
                  <wp:docPr id="1" name="Picture" descr="C:\Users\Note\Desktop\c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Note\Desktop\cão.jpg"/>
                          <pic:cNvPicPr>
                            <a:picLocks noChangeAspect="1" noChangeArrowheads="1"/>
                          </pic:cNvPicPr>
                        </pic:nvPicPr>
                        <pic:blipFill>
                          <a:blip r:embed="rId9" cstate="print"/>
                          <a:srcRect/>
                          <a:stretch>
                            <a:fillRect/>
                          </a:stretch>
                        </pic:blipFill>
                        <pic:spPr bwMode="auto">
                          <a:xfrm>
                            <a:off x="0" y="0"/>
                            <a:ext cx="830580" cy="829310"/>
                          </a:xfrm>
                          <a:prstGeom prst="rect">
                            <a:avLst/>
                          </a:prstGeom>
                          <a:noFill/>
                          <a:ln w="9525">
                            <a:noFill/>
                            <a:miter lim="800000"/>
                            <a:headEnd/>
                            <a:tailEnd/>
                          </a:ln>
                        </pic:spPr>
                      </pic:pic>
                    </a:graphicData>
                  </a:graphic>
                </wp:anchor>
              </w:drawing>
            </w:r>
          </w:p>
        </w:tc>
      </w:tr>
    </w:tbl>
    <w:p w:rsidR="003C4864" w:rsidRPr="00F43E44" w:rsidRDefault="003C4864" w:rsidP="0029044C">
      <w:pPr>
        <w:spacing w:after="0" w:line="360" w:lineRule="auto"/>
        <w:ind w:firstLine="851"/>
        <w:jc w:val="both"/>
        <w:rPr>
          <w:rFonts w:ascii="Times New Roman" w:hAnsi="Times New Roman" w:cs="Times New Roman"/>
        </w:rPr>
      </w:pPr>
      <w:r w:rsidRPr="00F43E44">
        <w:rPr>
          <w:rFonts w:ascii="Times New Roman" w:hAnsi="Times New Roman" w:cs="Times New Roman"/>
        </w:rPr>
        <w:t>Nesse contexto, irretocáveis são as palavras conclusivas do professor Pinto Bronze</w:t>
      </w:r>
      <w:r w:rsidRPr="00F43E44">
        <w:rPr>
          <w:rStyle w:val="ncoradanotaderodap"/>
          <w:rFonts w:ascii="Times New Roman" w:hAnsi="Times New Roman" w:cs="Times New Roman"/>
        </w:rPr>
        <w:footnoteReference w:id="5"/>
      </w:r>
      <w:r w:rsidRPr="00F43E44">
        <w:rPr>
          <w:rFonts w:ascii="Times New Roman" w:hAnsi="Times New Roman" w:cs="Times New Roman"/>
        </w:rPr>
        <w:t xml:space="preserve"> (2010, p.812):</w:t>
      </w:r>
    </w:p>
    <w:p w:rsidR="003C4864" w:rsidRPr="00F43E44" w:rsidRDefault="003C4864" w:rsidP="00344706">
      <w:pPr>
        <w:spacing w:after="0" w:line="240" w:lineRule="auto"/>
        <w:ind w:left="2268"/>
        <w:jc w:val="both"/>
        <w:rPr>
          <w:rFonts w:ascii="Times New Roman" w:hAnsi="Times New Roman" w:cs="Times New Roman"/>
        </w:rPr>
      </w:pPr>
      <w:r w:rsidRPr="00F43E44">
        <w:rPr>
          <w:rFonts w:ascii="Times New Roman" w:hAnsi="Times New Roman" w:cs="Times New Roman"/>
          <w:sz w:val="20"/>
          <w:szCs w:val="20"/>
        </w:rPr>
        <w:t xml:space="preserve">Como quer que seja, a Jurisprudência dos interesses superou </w:t>
      </w:r>
      <w:proofErr w:type="spellStart"/>
      <w:r w:rsidRPr="00F43E44">
        <w:rPr>
          <w:rFonts w:ascii="Times New Roman" w:hAnsi="Times New Roman" w:cs="Times New Roman"/>
          <w:sz w:val="20"/>
          <w:szCs w:val="20"/>
        </w:rPr>
        <w:t>defintiva</w:t>
      </w:r>
      <w:proofErr w:type="spellEnd"/>
      <w:r w:rsidRPr="00F43E44">
        <w:rPr>
          <w:rFonts w:ascii="Times New Roman" w:hAnsi="Times New Roman" w:cs="Times New Roman"/>
          <w:sz w:val="20"/>
          <w:szCs w:val="20"/>
        </w:rPr>
        <w:t xml:space="preserve"> e concludentemente as... </w:t>
      </w:r>
      <w:proofErr w:type="spellStart"/>
      <w:proofErr w:type="gramStart"/>
      <w:r w:rsidRPr="00F43E44">
        <w:rPr>
          <w:rFonts w:ascii="Times New Roman" w:hAnsi="Times New Roman" w:cs="Times New Roman"/>
          <w:sz w:val="20"/>
          <w:szCs w:val="20"/>
        </w:rPr>
        <w:t>inconcludências</w:t>
      </w:r>
      <w:proofErr w:type="spellEnd"/>
      <w:proofErr w:type="gramEnd"/>
      <w:r w:rsidRPr="00F43E44">
        <w:rPr>
          <w:rFonts w:ascii="Times New Roman" w:hAnsi="Times New Roman" w:cs="Times New Roman"/>
          <w:sz w:val="20"/>
          <w:szCs w:val="20"/>
        </w:rPr>
        <w:t xml:space="preserve"> do </w:t>
      </w:r>
      <w:proofErr w:type="spellStart"/>
      <w:r w:rsidRPr="00F43E44">
        <w:rPr>
          <w:rFonts w:ascii="Times New Roman" w:hAnsi="Times New Roman" w:cs="Times New Roman"/>
          <w:sz w:val="20"/>
          <w:szCs w:val="20"/>
        </w:rPr>
        <w:t>conceitualismo</w:t>
      </w:r>
      <w:proofErr w:type="spellEnd"/>
      <w:r w:rsidRPr="00F43E44">
        <w:rPr>
          <w:rFonts w:ascii="Times New Roman" w:hAnsi="Times New Roman" w:cs="Times New Roman"/>
          <w:sz w:val="20"/>
          <w:szCs w:val="20"/>
        </w:rPr>
        <w:t xml:space="preserve"> relativamente a esta emblemática questão: as lacunas não eram apenas aparentes, mas reais: o sistema jurídico não era fechado, nem logicamente pleno, mas inconcluso e omisso na consideração de muitos interesses igualmente dignos de </w:t>
      </w:r>
      <w:proofErr w:type="spellStart"/>
      <w:r w:rsidRPr="00F43E44">
        <w:rPr>
          <w:rFonts w:ascii="Times New Roman" w:hAnsi="Times New Roman" w:cs="Times New Roman"/>
          <w:sz w:val="20"/>
          <w:szCs w:val="20"/>
        </w:rPr>
        <w:t>protecção</w:t>
      </w:r>
      <w:proofErr w:type="spellEnd"/>
      <w:r w:rsidRPr="00F43E44">
        <w:rPr>
          <w:rFonts w:ascii="Times New Roman" w:hAnsi="Times New Roman" w:cs="Times New Roman"/>
          <w:sz w:val="20"/>
          <w:szCs w:val="20"/>
        </w:rPr>
        <w:t xml:space="preserve">: a recombinação de conceitos (a sua como que metastática multiplicação) e a produção de normas (que traduziram “juízos da sociedade sobre a justiça”) a partir de conceitos logicamente inferidos de ... </w:t>
      </w:r>
      <w:proofErr w:type="gramStart"/>
      <w:r w:rsidRPr="00F43E44">
        <w:rPr>
          <w:rFonts w:ascii="Times New Roman" w:hAnsi="Times New Roman" w:cs="Times New Roman"/>
          <w:sz w:val="20"/>
          <w:szCs w:val="20"/>
        </w:rPr>
        <w:t>outras</w:t>
      </w:r>
      <w:proofErr w:type="gramEnd"/>
      <w:r w:rsidRPr="00F43E44">
        <w:rPr>
          <w:rFonts w:ascii="Times New Roman" w:hAnsi="Times New Roman" w:cs="Times New Roman"/>
          <w:sz w:val="20"/>
          <w:szCs w:val="20"/>
        </w:rPr>
        <w:t xml:space="preserve"> normas (o famoso “método de inversão”, tão caro ao </w:t>
      </w:r>
      <w:proofErr w:type="spellStart"/>
      <w:r w:rsidRPr="00F43E44">
        <w:rPr>
          <w:rFonts w:ascii="Times New Roman" w:hAnsi="Times New Roman" w:cs="Times New Roman"/>
          <w:sz w:val="20"/>
          <w:szCs w:val="20"/>
        </w:rPr>
        <w:t>conceitualismo</w:t>
      </w:r>
      <w:proofErr w:type="spellEnd"/>
      <w:r w:rsidRPr="00F43E44">
        <w:rPr>
          <w:rFonts w:ascii="Times New Roman" w:hAnsi="Times New Roman" w:cs="Times New Roman"/>
          <w:sz w:val="20"/>
          <w:szCs w:val="20"/>
        </w:rPr>
        <w:t xml:space="preserve"> implacavelmente criticado pela </w:t>
      </w:r>
      <w:proofErr w:type="spellStart"/>
      <w:r w:rsidRPr="00F43E44">
        <w:rPr>
          <w:rFonts w:ascii="Times New Roman" w:hAnsi="Times New Roman" w:cs="Times New Roman"/>
          <w:i/>
          <w:sz w:val="20"/>
          <w:szCs w:val="20"/>
        </w:rPr>
        <w:t>Interessenjurisprudenz</w:t>
      </w:r>
      <w:proofErr w:type="spellEnd"/>
      <w:r w:rsidRPr="00F43E44">
        <w:rPr>
          <w:rFonts w:ascii="Times New Roman" w:hAnsi="Times New Roman" w:cs="Times New Roman"/>
          <w:sz w:val="20"/>
          <w:szCs w:val="20"/>
        </w:rPr>
        <w:t xml:space="preserve">) não passavam de falácias </w:t>
      </w:r>
      <w:proofErr w:type="spellStart"/>
      <w:r w:rsidRPr="00F43E44">
        <w:rPr>
          <w:rFonts w:ascii="Times New Roman" w:hAnsi="Times New Roman" w:cs="Times New Roman"/>
          <w:sz w:val="20"/>
          <w:szCs w:val="20"/>
        </w:rPr>
        <w:t>retórico-argumentativas</w:t>
      </w:r>
      <w:proofErr w:type="spellEnd"/>
      <w:r w:rsidRPr="00F43E44">
        <w:rPr>
          <w:rFonts w:ascii="Times New Roman" w:hAnsi="Times New Roman" w:cs="Times New Roman"/>
          <w:sz w:val="20"/>
          <w:szCs w:val="20"/>
        </w:rPr>
        <w:t>, e o que importava era ponderar adequadamente (</w:t>
      </w:r>
      <w:proofErr w:type="spellStart"/>
      <w:r w:rsidRPr="00F43E44">
        <w:rPr>
          <w:rFonts w:ascii="Times New Roman" w:hAnsi="Times New Roman" w:cs="Times New Roman"/>
          <w:i/>
          <w:sz w:val="20"/>
          <w:szCs w:val="20"/>
        </w:rPr>
        <w:t>scilicet</w:t>
      </w:r>
      <w:proofErr w:type="spellEnd"/>
      <w:r w:rsidRPr="00F43E44">
        <w:rPr>
          <w:rFonts w:ascii="Times New Roman" w:hAnsi="Times New Roman" w:cs="Times New Roman"/>
          <w:sz w:val="20"/>
          <w:szCs w:val="20"/>
        </w:rPr>
        <w:t xml:space="preserve">: prático-normativamente) os interesses que não tivessem sido, mas devessem ser, juridicamente protegidos. </w:t>
      </w:r>
    </w:p>
    <w:p w:rsidR="003C4864" w:rsidRPr="00F43E44" w:rsidRDefault="003C4864" w:rsidP="00344706">
      <w:pPr>
        <w:spacing w:before="120" w:after="120" w:line="360" w:lineRule="auto"/>
        <w:ind w:firstLine="851"/>
        <w:jc w:val="both"/>
        <w:rPr>
          <w:rFonts w:ascii="Times New Roman" w:hAnsi="Times New Roman" w:cs="Times New Roman"/>
        </w:rPr>
      </w:pPr>
      <w:r w:rsidRPr="00F43E44">
        <w:rPr>
          <w:rFonts w:ascii="Times New Roman" w:hAnsi="Times New Roman" w:cs="Times New Roman"/>
        </w:rPr>
        <w:t xml:space="preserve">Em suma, as características da Jurisprudência dos interesses desencadearam novas funções para o juiz, conforme aponta </w:t>
      </w:r>
      <w:proofErr w:type="gramStart"/>
      <w:r w:rsidRPr="00F43E44">
        <w:rPr>
          <w:rFonts w:ascii="Times New Roman" w:hAnsi="Times New Roman" w:cs="Times New Roman"/>
        </w:rPr>
        <w:t>Santos Justo (2009, p.315)</w:t>
      </w:r>
      <w:proofErr w:type="gramEnd"/>
      <w:r w:rsidRPr="00F43E44">
        <w:rPr>
          <w:rFonts w:ascii="Times New Roman" w:hAnsi="Times New Roman" w:cs="Times New Roman"/>
        </w:rPr>
        <w:t>:</w:t>
      </w:r>
    </w:p>
    <w:p w:rsidR="003C4864" w:rsidRPr="00F43E44" w:rsidRDefault="003C4864" w:rsidP="0029044C">
      <w:pPr>
        <w:numPr>
          <w:ilvl w:val="0"/>
          <w:numId w:val="3"/>
        </w:numPr>
        <w:spacing w:after="120" w:line="360" w:lineRule="auto"/>
        <w:ind w:firstLine="851"/>
        <w:contextualSpacing/>
        <w:jc w:val="both"/>
        <w:rPr>
          <w:rFonts w:ascii="Times New Roman" w:hAnsi="Times New Roman" w:cs="Times New Roman"/>
        </w:rPr>
      </w:pPr>
      <w:r w:rsidRPr="00F43E44">
        <w:rPr>
          <w:rFonts w:ascii="Times New Roman" w:hAnsi="Times New Roman" w:cs="Times New Roman"/>
        </w:rPr>
        <w:lastRenderedPageBreak/>
        <w:t xml:space="preserve">Na interpretação da lei: </w:t>
      </w:r>
      <w:proofErr w:type="gramStart"/>
      <w:r w:rsidRPr="00F43E44">
        <w:rPr>
          <w:rFonts w:ascii="Times New Roman" w:hAnsi="Times New Roman" w:cs="Times New Roman"/>
        </w:rPr>
        <w:t>deve-se</w:t>
      </w:r>
      <w:proofErr w:type="gramEnd"/>
      <w:r w:rsidRPr="00F43E44">
        <w:rPr>
          <w:rFonts w:ascii="Times New Roman" w:hAnsi="Times New Roman" w:cs="Times New Roman"/>
        </w:rPr>
        <w:t xml:space="preserve"> buscar todos os interesses que determinaram o seu surgimento e reconhecerá no texto da lei apenas um valor indiciário, de maneira que para respeitar a vontade normativa nela contida, até mesmo a interpretação corretiva está autorizada</w:t>
      </w:r>
    </w:p>
    <w:p w:rsidR="003C4864" w:rsidRPr="00F43E44" w:rsidRDefault="003C4864" w:rsidP="0029044C">
      <w:pPr>
        <w:numPr>
          <w:ilvl w:val="0"/>
          <w:numId w:val="3"/>
        </w:numPr>
        <w:spacing w:after="120" w:line="360" w:lineRule="auto"/>
        <w:ind w:firstLine="851"/>
        <w:contextualSpacing/>
        <w:jc w:val="both"/>
        <w:rPr>
          <w:rFonts w:ascii="Times New Roman" w:hAnsi="Times New Roman" w:cs="Times New Roman"/>
        </w:rPr>
      </w:pPr>
      <w:r w:rsidRPr="00F43E44">
        <w:rPr>
          <w:rFonts w:ascii="Times New Roman" w:hAnsi="Times New Roman" w:cs="Times New Roman"/>
        </w:rPr>
        <w:t xml:space="preserve">Na aplicação da lei: </w:t>
      </w:r>
      <w:proofErr w:type="gramStart"/>
      <w:r w:rsidRPr="00F43E44">
        <w:rPr>
          <w:rFonts w:ascii="Times New Roman" w:hAnsi="Times New Roman" w:cs="Times New Roman"/>
        </w:rPr>
        <w:t>deve-se</w:t>
      </w:r>
      <w:proofErr w:type="gramEnd"/>
      <w:r w:rsidRPr="00F43E44">
        <w:rPr>
          <w:rFonts w:ascii="Times New Roman" w:hAnsi="Times New Roman" w:cs="Times New Roman"/>
        </w:rPr>
        <w:t xml:space="preserve"> apurar os interesses expostos na vontade normativa da lei e comparar os interesses reais presentes no caso concreto, mediante um exercício analógico</w:t>
      </w:r>
      <w:r w:rsidRPr="00F43E44">
        <w:rPr>
          <w:rStyle w:val="ncoradanotaderodap"/>
          <w:rFonts w:ascii="Times New Roman" w:hAnsi="Times New Roman" w:cs="Times New Roman"/>
        </w:rPr>
        <w:footnoteReference w:id="6"/>
      </w:r>
      <w:r w:rsidRPr="00F43E44">
        <w:rPr>
          <w:rFonts w:ascii="Times New Roman" w:hAnsi="Times New Roman" w:cs="Times New Roman"/>
        </w:rPr>
        <w:t xml:space="preserve"> e não lógico-dedutivo.</w:t>
      </w:r>
    </w:p>
    <w:p w:rsidR="003C4864" w:rsidRPr="0029044C" w:rsidRDefault="003C4864" w:rsidP="0029044C">
      <w:pPr>
        <w:numPr>
          <w:ilvl w:val="0"/>
          <w:numId w:val="3"/>
        </w:numPr>
        <w:spacing w:after="120" w:line="360" w:lineRule="auto"/>
        <w:ind w:firstLine="851"/>
        <w:contextualSpacing/>
        <w:jc w:val="both"/>
        <w:rPr>
          <w:rFonts w:ascii="Times New Roman" w:hAnsi="Times New Roman" w:cs="Times New Roman"/>
        </w:rPr>
      </w:pPr>
      <w:r w:rsidRPr="00F43E44">
        <w:rPr>
          <w:rFonts w:ascii="Times New Roman" w:hAnsi="Times New Roman" w:cs="Times New Roman"/>
        </w:rPr>
        <w:t xml:space="preserve">No caso de lacuna: deve-se integrar a lacuna mediante alguns critérios: primeiro, procurar outra norma que analogicamente ofereça a solução semelhante a ponto de justificar sua aplicação no caso </w:t>
      </w:r>
      <w:r w:rsidRPr="00F43E44">
        <w:rPr>
          <w:rFonts w:ascii="Times New Roman" w:hAnsi="Times New Roman" w:cs="Times New Roman"/>
          <w:i/>
        </w:rPr>
        <w:t xml:space="preserve">sub </w:t>
      </w:r>
      <w:proofErr w:type="spellStart"/>
      <w:r w:rsidRPr="00F43E44">
        <w:rPr>
          <w:rFonts w:ascii="Times New Roman" w:hAnsi="Times New Roman" w:cs="Times New Roman"/>
          <w:i/>
        </w:rPr>
        <w:t>iudice</w:t>
      </w:r>
      <w:proofErr w:type="spellEnd"/>
      <w:r w:rsidRPr="00F43E44">
        <w:rPr>
          <w:rFonts w:ascii="Times New Roman" w:hAnsi="Times New Roman" w:cs="Times New Roman"/>
        </w:rPr>
        <w:t>; segundo, não existindo norma legal, o juiz devia tomar em conta os juízos de valor na comunidade jurídica; por último, poderia decidir de acordo com os seus juízos d</w:t>
      </w:r>
      <w:r w:rsidR="0029044C">
        <w:rPr>
          <w:rFonts w:ascii="Times New Roman" w:hAnsi="Times New Roman" w:cs="Times New Roman"/>
        </w:rPr>
        <w:t>e valor pessoais.</w:t>
      </w:r>
    </w:p>
    <w:p w:rsidR="0029044C" w:rsidRDefault="00F43E44" w:rsidP="0029044C">
      <w:pPr>
        <w:spacing w:before="720" w:after="720" w:line="360" w:lineRule="auto"/>
        <w:jc w:val="both"/>
        <w:rPr>
          <w:rFonts w:ascii="Times New Roman" w:hAnsi="Times New Roman" w:cs="Times New Roman"/>
          <w:b/>
        </w:rPr>
      </w:pPr>
      <w:r w:rsidRPr="00EB5A7F">
        <w:rPr>
          <w:rFonts w:ascii="Times New Roman" w:hAnsi="Times New Roman" w:cs="Times New Roman"/>
          <w:b/>
        </w:rPr>
        <w:t>CONCLUSÃO</w:t>
      </w:r>
    </w:p>
    <w:p w:rsidR="003C4864" w:rsidRPr="00344706" w:rsidRDefault="003C4864" w:rsidP="00344706">
      <w:pPr>
        <w:tabs>
          <w:tab w:val="left" w:pos="851"/>
        </w:tabs>
        <w:spacing w:after="120" w:line="360" w:lineRule="auto"/>
        <w:ind w:firstLine="851"/>
        <w:jc w:val="both"/>
        <w:rPr>
          <w:rFonts w:ascii="Times New Roman" w:hAnsi="Times New Roman" w:cs="Times New Roman"/>
          <w:b/>
        </w:rPr>
      </w:pPr>
      <w:r w:rsidRPr="00F43E44">
        <w:rPr>
          <w:rFonts w:ascii="Times New Roman" w:hAnsi="Times New Roman" w:cs="Times New Roman"/>
        </w:rPr>
        <w:t>Sem invocar outros autores para se apresentar uma possível resposta, podemos concluir no sentido de que o raciocínio jurídico, ainda que se apresente sob uma estrutura lógica, apresenta sempre e inevitavelmente uma interferência valorativa. Para não se transformar num puro subjetivismo, que redunda numa evidente arbitrariedade, por vezes os autores recorrem ao dever de fundamentação das sentenças como o ponto alto de aferição da validade ou invalidade e também da justiça ou injustiça da solução outorgada ao conflito de interesses.</w:t>
      </w:r>
    </w:p>
    <w:p w:rsidR="003C4864" w:rsidRPr="00F43E44" w:rsidRDefault="003C4864" w:rsidP="0029044C">
      <w:pPr>
        <w:spacing w:after="120" w:line="360" w:lineRule="auto"/>
        <w:ind w:firstLine="851"/>
        <w:jc w:val="both"/>
        <w:rPr>
          <w:rFonts w:ascii="Times New Roman" w:hAnsi="Times New Roman" w:cs="Times New Roman"/>
        </w:rPr>
      </w:pPr>
      <w:r w:rsidRPr="00F43E44">
        <w:rPr>
          <w:rFonts w:ascii="Times New Roman" w:hAnsi="Times New Roman" w:cs="Times New Roman"/>
        </w:rPr>
        <w:t xml:space="preserve">O passo importante para que se chama atenção é que a consideração </w:t>
      </w:r>
      <w:proofErr w:type="gramStart"/>
      <w:r w:rsidRPr="00F43E44">
        <w:rPr>
          <w:rFonts w:ascii="Times New Roman" w:hAnsi="Times New Roman" w:cs="Times New Roman"/>
        </w:rPr>
        <w:t>do direito baseada</w:t>
      </w:r>
      <w:proofErr w:type="gramEnd"/>
      <w:r w:rsidRPr="00F43E44">
        <w:rPr>
          <w:rFonts w:ascii="Times New Roman" w:hAnsi="Times New Roman" w:cs="Times New Roman"/>
        </w:rPr>
        <w:t xml:space="preserve"> num puro ideal de segurança jurídica se mostra insustentável, pois juízos racionalmente fundamentados que apresentem conteúdo manifestamente injustos não atendem as expectativas sociais do direito. Por sua vez, decisões pautadas em preferências e sentimentos exclusivamente pessoais conduzem ao arbítrio e também apontam para uma insat</w:t>
      </w:r>
      <w:r w:rsidR="0066755F">
        <w:rPr>
          <w:rFonts w:ascii="Times New Roman" w:hAnsi="Times New Roman" w:cs="Times New Roman"/>
        </w:rPr>
        <w:t>isfação da resposta do direito.</w:t>
      </w:r>
      <w:bookmarkStart w:id="1" w:name="_GoBack"/>
      <w:bookmarkEnd w:id="1"/>
    </w:p>
    <w:p w:rsidR="0066755F" w:rsidRDefault="003C4864" w:rsidP="0029044C">
      <w:pPr>
        <w:spacing w:after="0" w:line="240" w:lineRule="auto"/>
        <w:ind w:left="2268"/>
        <w:jc w:val="both"/>
        <w:rPr>
          <w:rFonts w:ascii="Times New Roman" w:hAnsi="Times New Roman" w:cs="Times New Roman"/>
          <w:sz w:val="20"/>
          <w:szCs w:val="20"/>
        </w:rPr>
      </w:pPr>
      <w:r w:rsidRPr="00F43E44">
        <w:rPr>
          <w:rFonts w:ascii="Times New Roman" w:hAnsi="Times New Roman" w:cs="Times New Roman"/>
          <w:sz w:val="20"/>
          <w:szCs w:val="20"/>
        </w:rPr>
        <w:lastRenderedPageBreak/>
        <w:t>No campo do ensino e da pesquisa, as leis e os códigos são importantes, mas não podem servir de escudo a operadores jurídicos preguiçosos e juristas incompetentes. Os estudantes têm de perceber que não há causa previamente ganha ou perdida, mesmo que a lei pareça estar claramente de um lado, e aprender a defender suas convicções. (ADEODATO, 2002, p.311)</w:t>
      </w:r>
    </w:p>
    <w:p w:rsidR="0066755F" w:rsidRPr="0066755F" w:rsidRDefault="0066755F" w:rsidP="00344706">
      <w:pPr>
        <w:spacing w:before="720" w:after="720" w:line="100" w:lineRule="atLeast"/>
        <w:jc w:val="both"/>
        <w:rPr>
          <w:rFonts w:ascii="Times New Roman" w:hAnsi="Times New Roman" w:cs="Times New Roman"/>
          <w:b/>
        </w:rPr>
      </w:pPr>
      <w:r w:rsidRPr="0066755F">
        <w:rPr>
          <w:rFonts w:ascii="Times New Roman" w:hAnsi="Times New Roman" w:cs="Times New Roman"/>
          <w:b/>
        </w:rPr>
        <w:t>REFERÊNCIAS</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ADEODATO, João Maurício</w:t>
      </w:r>
      <w:r w:rsidRPr="0066755F">
        <w:rPr>
          <w:rFonts w:ascii="Times New Roman" w:hAnsi="Times New Roman" w:cs="Times New Roman"/>
          <w:i/>
        </w:rPr>
        <w:t>. Ética e retórica: para uma teoria dogmática jurídica.</w:t>
      </w:r>
      <w:r w:rsidRPr="0066755F">
        <w:rPr>
          <w:rFonts w:ascii="Times New Roman" w:hAnsi="Times New Roman" w:cs="Times New Roman"/>
        </w:rPr>
        <w:t xml:space="preserve"> São Paulo: </w:t>
      </w:r>
      <w:proofErr w:type="gramStart"/>
      <w:r w:rsidRPr="0066755F">
        <w:rPr>
          <w:rFonts w:ascii="Times New Roman" w:hAnsi="Times New Roman" w:cs="Times New Roman"/>
        </w:rPr>
        <w:t>Saraiva,</w:t>
      </w:r>
      <w:proofErr w:type="gramEnd"/>
      <w:r w:rsidRPr="0066755F">
        <w:rPr>
          <w:rFonts w:ascii="Times New Roman" w:hAnsi="Times New Roman" w:cs="Times New Roman"/>
        </w:rPr>
        <w:t xml:space="preserve"> 2002.</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BRONZE, Fernando José. </w:t>
      </w:r>
      <w:r w:rsidRPr="0066755F">
        <w:rPr>
          <w:rFonts w:ascii="Times New Roman" w:hAnsi="Times New Roman" w:cs="Times New Roman"/>
          <w:i/>
        </w:rPr>
        <w:t>Lições de introdução ao direito</w:t>
      </w:r>
      <w:r w:rsidRPr="0066755F">
        <w:rPr>
          <w:rFonts w:ascii="Times New Roman" w:hAnsi="Times New Roman" w:cs="Times New Roman"/>
        </w:rPr>
        <w:t xml:space="preserve">. </w:t>
      </w:r>
      <w:proofErr w:type="gramStart"/>
      <w:r w:rsidRPr="0066755F">
        <w:rPr>
          <w:rFonts w:ascii="Times New Roman" w:hAnsi="Times New Roman" w:cs="Times New Roman"/>
        </w:rPr>
        <w:t>2.</w:t>
      </w:r>
      <w:proofErr w:type="gramEnd"/>
      <w:r w:rsidRPr="0066755F">
        <w:rPr>
          <w:rFonts w:ascii="Times New Roman" w:hAnsi="Times New Roman" w:cs="Times New Roman"/>
        </w:rPr>
        <w:t xml:space="preserve">ed. </w:t>
      </w:r>
      <w:proofErr w:type="spellStart"/>
      <w:r w:rsidRPr="0066755F">
        <w:rPr>
          <w:rFonts w:ascii="Times New Roman" w:hAnsi="Times New Roman" w:cs="Times New Roman"/>
        </w:rPr>
        <w:t>reim</w:t>
      </w:r>
      <w:proofErr w:type="spellEnd"/>
      <w:r w:rsidRPr="0066755F">
        <w:rPr>
          <w:rFonts w:ascii="Times New Roman" w:hAnsi="Times New Roman" w:cs="Times New Roman"/>
        </w:rPr>
        <w:t>. Coimbra: Coimbra, 2010</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CAMARGO, Margarida Maria </w:t>
      </w:r>
      <w:proofErr w:type="spellStart"/>
      <w:r w:rsidRPr="0066755F">
        <w:rPr>
          <w:rFonts w:ascii="Times New Roman" w:hAnsi="Times New Roman" w:cs="Times New Roman"/>
        </w:rPr>
        <w:t>Lacombe</w:t>
      </w:r>
      <w:proofErr w:type="spellEnd"/>
      <w:r w:rsidRPr="0066755F">
        <w:rPr>
          <w:rFonts w:ascii="Times New Roman" w:hAnsi="Times New Roman" w:cs="Times New Roman"/>
        </w:rPr>
        <w:t xml:space="preserve">. </w:t>
      </w:r>
      <w:r w:rsidRPr="0066755F">
        <w:rPr>
          <w:rFonts w:ascii="Times New Roman" w:hAnsi="Times New Roman" w:cs="Times New Roman"/>
          <w:i/>
        </w:rPr>
        <w:t>Hermenêutica e argumentação: uma contribuição ao estudo do direito</w:t>
      </w:r>
      <w:r w:rsidRPr="0066755F">
        <w:rPr>
          <w:rFonts w:ascii="Times New Roman" w:hAnsi="Times New Roman" w:cs="Times New Roman"/>
        </w:rPr>
        <w:t xml:space="preserve">. </w:t>
      </w:r>
      <w:proofErr w:type="gramStart"/>
      <w:r w:rsidRPr="0066755F">
        <w:rPr>
          <w:rFonts w:ascii="Times New Roman" w:hAnsi="Times New Roman" w:cs="Times New Roman"/>
        </w:rPr>
        <w:t>3.</w:t>
      </w:r>
      <w:proofErr w:type="gramEnd"/>
      <w:r w:rsidRPr="0066755F">
        <w:rPr>
          <w:rFonts w:ascii="Times New Roman" w:hAnsi="Times New Roman" w:cs="Times New Roman"/>
        </w:rPr>
        <w:t>ed. Rio de Janeiro: Renovar, 2003</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JUSTO, António Santos. </w:t>
      </w:r>
      <w:r w:rsidRPr="0066755F">
        <w:rPr>
          <w:rFonts w:ascii="Times New Roman" w:hAnsi="Times New Roman" w:cs="Times New Roman"/>
          <w:i/>
        </w:rPr>
        <w:t>Introdução ao estudo do direito</w:t>
      </w:r>
      <w:r w:rsidRPr="0066755F">
        <w:rPr>
          <w:rFonts w:ascii="Times New Roman" w:hAnsi="Times New Roman" w:cs="Times New Roman"/>
        </w:rPr>
        <w:t xml:space="preserve">. </w:t>
      </w:r>
      <w:proofErr w:type="gramStart"/>
      <w:r w:rsidRPr="0066755F">
        <w:rPr>
          <w:rFonts w:ascii="Times New Roman" w:hAnsi="Times New Roman" w:cs="Times New Roman"/>
        </w:rPr>
        <w:t>4.</w:t>
      </w:r>
      <w:proofErr w:type="gramEnd"/>
      <w:r w:rsidRPr="0066755F">
        <w:rPr>
          <w:rFonts w:ascii="Times New Roman" w:hAnsi="Times New Roman" w:cs="Times New Roman"/>
        </w:rPr>
        <w:t>ed. Coimbra: Coimbra, 2009</w:t>
      </w:r>
    </w:p>
    <w:p w:rsidR="0066755F" w:rsidRPr="0066755F" w:rsidRDefault="0066755F" w:rsidP="009A137B">
      <w:pPr>
        <w:spacing w:after="720" w:line="240" w:lineRule="auto"/>
        <w:jc w:val="both"/>
        <w:rPr>
          <w:rFonts w:ascii="Times New Roman" w:hAnsi="Times New Roman" w:cs="Times New Roman"/>
          <w:lang w:val="pt-PT"/>
        </w:rPr>
      </w:pPr>
      <w:r w:rsidRPr="0066755F">
        <w:rPr>
          <w:rFonts w:ascii="Times New Roman" w:hAnsi="Times New Roman" w:cs="Times New Roman"/>
        </w:rPr>
        <w:t xml:space="preserve">KAUFMANN, Arthur. </w:t>
      </w:r>
      <w:r w:rsidRPr="0066755F">
        <w:rPr>
          <w:rFonts w:ascii="Times New Roman" w:hAnsi="Times New Roman" w:cs="Times New Roman"/>
          <w:i/>
        </w:rPr>
        <w:t>A problemática da filosofia do direito ao longo da história</w:t>
      </w:r>
      <w:r w:rsidRPr="0066755F">
        <w:rPr>
          <w:rFonts w:ascii="Times New Roman" w:hAnsi="Times New Roman" w:cs="Times New Roman"/>
        </w:rPr>
        <w:t xml:space="preserve">. </w:t>
      </w:r>
      <w:r w:rsidRPr="0066755F">
        <w:rPr>
          <w:rFonts w:ascii="Times New Roman" w:hAnsi="Times New Roman" w:cs="Times New Roman"/>
          <w:i/>
        </w:rPr>
        <w:t>In</w:t>
      </w:r>
      <w:r w:rsidRPr="0066755F">
        <w:rPr>
          <w:rFonts w:ascii="Times New Roman" w:hAnsi="Times New Roman" w:cs="Times New Roman"/>
        </w:rPr>
        <w:t>:</w:t>
      </w:r>
      <w:r w:rsidRPr="0066755F">
        <w:rPr>
          <w:rFonts w:ascii="Times New Roman" w:hAnsi="Times New Roman" w:cs="Times New Roman"/>
          <w:lang w:val="pt-PT"/>
        </w:rPr>
        <w:t xml:space="preserve"> KAUFMANN, A. HASSEMER, W. (org.) </w:t>
      </w:r>
      <w:r w:rsidRPr="0066755F">
        <w:rPr>
          <w:rFonts w:ascii="Times New Roman" w:hAnsi="Times New Roman" w:cs="Times New Roman"/>
          <w:iCs/>
          <w:lang w:val="pt-PT"/>
        </w:rPr>
        <w:t>Introdução à filosofia do direito e à teoria do direito contemporâneas.</w:t>
      </w:r>
      <w:r w:rsidRPr="0066755F">
        <w:rPr>
          <w:rFonts w:ascii="Times New Roman" w:hAnsi="Times New Roman" w:cs="Times New Roman"/>
          <w:lang w:val="pt-PT"/>
        </w:rPr>
        <w:t xml:space="preserve"> Trad. António Manuel Hespanha. 2.ed. Lisboa: Calouste Gulbenkian, 2009</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LARENZ, Karl. </w:t>
      </w:r>
      <w:r w:rsidRPr="0066755F">
        <w:rPr>
          <w:rFonts w:ascii="Times New Roman" w:hAnsi="Times New Roman" w:cs="Times New Roman"/>
          <w:i/>
        </w:rPr>
        <w:t>Metodologia da ciência do direito</w:t>
      </w:r>
      <w:r w:rsidRPr="0066755F">
        <w:rPr>
          <w:rFonts w:ascii="Times New Roman" w:hAnsi="Times New Roman" w:cs="Times New Roman"/>
        </w:rPr>
        <w:t xml:space="preserve">. Trad. José </w:t>
      </w:r>
      <w:proofErr w:type="spellStart"/>
      <w:r w:rsidRPr="0066755F">
        <w:rPr>
          <w:rFonts w:ascii="Times New Roman" w:hAnsi="Times New Roman" w:cs="Times New Roman"/>
        </w:rPr>
        <w:t>Lamego</w:t>
      </w:r>
      <w:proofErr w:type="spellEnd"/>
      <w:r w:rsidRPr="0066755F">
        <w:rPr>
          <w:rFonts w:ascii="Times New Roman" w:hAnsi="Times New Roman" w:cs="Times New Roman"/>
        </w:rPr>
        <w:t xml:space="preserve">. </w:t>
      </w:r>
      <w:proofErr w:type="gramStart"/>
      <w:r w:rsidRPr="0066755F">
        <w:rPr>
          <w:rFonts w:ascii="Times New Roman" w:hAnsi="Times New Roman" w:cs="Times New Roman"/>
        </w:rPr>
        <w:t>3.</w:t>
      </w:r>
      <w:proofErr w:type="gramEnd"/>
      <w:r w:rsidRPr="0066755F">
        <w:rPr>
          <w:rFonts w:ascii="Times New Roman" w:hAnsi="Times New Roman" w:cs="Times New Roman"/>
        </w:rPr>
        <w:t xml:space="preserve">ed. Lisboa: </w:t>
      </w:r>
      <w:proofErr w:type="spellStart"/>
      <w:r w:rsidRPr="0066755F">
        <w:rPr>
          <w:rFonts w:ascii="Times New Roman" w:hAnsi="Times New Roman" w:cs="Times New Roman"/>
        </w:rPr>
        <w:t>CalousteGulbenkian</w:t>
      </w:r>
      <w:proofErr w:type="spellEnd"/>
      <w:r w:rsidRPr="0066755F">
        <w:rPr>
          <w:rFonts w:ascii="Times New Roman" w:hAnsi="Times New Roman" w:cs="Times New Roman"/>
        </w:rPr>
        <w:t>, 1997</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LINHARES, José Manuel </w:t>
      </w:r>
      <w:proofErr w:type="spellStart"/>
      <w:r w:rsidRPr="0066755F">
        <w:rPr>
          <w:rFonts w:ascii="Times New Roman" w:hAnsi="Times New Roman" w:cs="Times New Roman"/>
        </w:rPr>
        <w:t>Aroso</w:t>
      </w:r>
      <w:proofErr w:type="spellEnd"/>
      <w:r w:rsidRPr="0066755F">
        <w:rPr>
          <w:rFonts w:ascii="Times New Roman" w:hAnsi="Times New Roman" w:cs="Times New Roman"/>
        </w:rPr>
        <w:t xml:space="preserve">. </w:t>
      </w:r>
      <w:r w:rsidRPr="0066755F">
        <w:rPr>
          <w:rFonts w:ascii="Times New Roman" w:hAnsi="Times New Roman" w:cs="Times New Roman"/>
          <w:i/>
        </w:rPr>
        <w:t>Sumários desenvolvidos de introdução ao direito</w:t>
      </w:r>
      <w:r w:rsidRPr="0066755F">
        <w:rPr>
          <w:rFonts w:ascii="Times New Roman" w:hAnsi="Times New Roman" w:cs="Times New Roman"/>
        </w:rPr>
        <w:t>. Policopiado. Coimbra, 2010</w:t>
      </w:r>
      <w:r w:rsidRPr="0066755F">
        <w:rPr>
          <w:rFonts w:ascii="Times New Roman" w:hAnsi="Times New Roman" w:cs="Times New Roman"/>
          <w:i/>
        </w:rPr>
        <w:t xml:space="preserve"> [s.n.]</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NEVES, A. Castanheira. </w:t>
      </w:r>
      <w:proofErr w:type="spellStart"/>
      <w:r w:rsidRPr="0066755F">
        <w:rPr>
          <w:rFonts w:ascii="Times New Roman" w:hAnsi="Times New Roman" w:cs="Times New Roman"/>
          <w:i/>
        </w:rPr>
        <w:t>Digesta</w:t>
      </w:r>
      <w:proofErr w:type="spellEnd"/>
      <w:r w:rsidRPr="0066755F">
        <w:rPr>
          <w:rFonts w:ascii="Times New Roman" w:hAnsi="Times New Roman" w:cs="Times New Roman"/>
          <w:i/>
        </w:rPr>
        <w:t>: escritos acerca do direito, do pensamento jurídico, da sua metodologia e outros</w:t>
      </w:r>
      <w:r w:rsidRPr="0066755F">
        <w:rPr>
          <w:rFonts w:ascii="Times New Roman" w:hAnsi="Times New Roman" w:cs="Times New Roman"/>
        </w:rPr>
        <w:t xml:space="preserve">. </w:t>
      </w:r>
      <w:proofErr w:type="spellStart"/>
      <w:r w:rsidRPr="0066755F">
        <w:rPr>
          <w:rFonts w:ascii="Times New Roman" w:hAnsi="Times New Roman" w:cs="Times New Roman"/>
        </w:rPr>
        <w:t>Vol</w:t>
      </w:r>
      <w:proofErr w:type="spellEnd"/>
      <w:r w:rsidRPr="0066755F">
        <w:rPr>
          <w:rFonts w:ascii="Times New Roman" w:hAnsi="Times New Roman" w:cs="Times New Roman"/>
        </w:rPr>
        <w:t xml:space="preserve"> I, II, III. </w:t>
      </w:r>
      <w:proofErr w:type="spellStart"/>
      <w:proofErr w:type="gramStart"/>
      <w:r w:rsidRPr="0066755F">
        <w:rPr>
          <w:rFonts w:ascii="Times New Roman" w:hAnsi="Times New Roman" w:cs="Times New Roman"/>
        </w:rPr>
        <w:t>reim</w:t>
      </w:r>
      <w:proofErr w:type="spellEnd"/>
      <w:proofErr w:type="gramEnd"/>
      <w:r w:rsidRPr="0066755F">
        <w:rPr>
          <w:rFonts w:ascii="Times New Roman" w:hAnsi="Times New Roman" w:cs="Times New Roman"/>
        </w:rPr>
        <w:t>. Coimbra: Coimbra, 2010</w:t>
      </w:r>
    </w:p>
    <w:p w:rsidR="0066755F" w:rsidRPr="0066755F" w:rsidRDefault="0066755F" w:rsidP="009A137B">
      <w:pPr>
        <w:spacing w:after="720" w:line="240" w:lineRule="auto"/>
        <w:jc w:val="both"/>
        <w:rPr>
          <w:rFonts w:ascii="Times New Roman" w:hAnsi="Times New Roman" w:cs="Times New Roman"/>
        </w:rPr>
      </w:pPr>
      <w:r w:rsidRPr="0066755F">
        <w:rPr>
          <w:rFonts w:ascii="Times New Roman" w:hAnsi="Times New Roman" w:cs="Times New Roman"/>
        </w:rPr>
        <w:t xml:space="preserve">__________. </w:t>
      </w:r>
      <w:r w:rsidRPr="0066755F">
        <w:rPr>
          <w:rFonts w:ascii="Times New Roman" w:hAnsi="Times New Roman" w:cs="Times New Roman"/>
          <w:i/>
        </w:rPr>
        <w:t>Metodologia jurídica: problemas fundamentais</w:t>
      </w:r>
      <w:r w:rsidRPr="0066755F">
        <w:rPr>
          <w:rFonts w:ascii="Times New Roman" w:hAnsi="Times New Roman" w:cs="Times New Roman"/>
        </w:rPr>
        <w:t xml:space="preserve">. Col. </w:t>
      </w:r>
      <w:proofErr w:type="spellStart"/>
      <w:r w:rsidRPr="0066755F">
        <w:rPr>
          <w:rFonts w:ascii="Times New Roman" w:hAnsi="Times New Roman" w:cs="Times New Roman"/>
        </w:rPr>
        <w:t>Studiaiuridica</w:t>
      </w:r>
      <w:proofErr w:type="spellEnd"/>
      <w:r w:rsidRPr="0066755F">
        <w:rPr>
          <w:rFonts w:ascii="Times New Roman" w:hAnsi="Times New Roman" w:cs="Times New Roman"/>
        </w:rPr>
        <w:t xml:space="preserve"> do Boletim da Faculdade de Direito, Universidade de Coimbra. Vol.1. Coimbra: Coimbra, 1993</w:t>
      </w:r>
    </w:p>
    <w:p w:rsidR="0066755F" w:rsidRPr="0066755F" w:rsidRDefault="0066755F" w:rsidP="009A137B">
      <w:pPr>
        <w:spacing w:after="720" w:line="240" w:lineRule="auto"/>
        <w:jc w:val="both"/>
        <w:rPr>
          <w:rFonts w:ascii="Times New Roman" w:hAnsi="Times New Roman" w:cs="Times New Roman"/>
        </w:rPr>
      </w:pPr>
      <w:proofErr w:type="gramStart"/>
      <w:r w:rsidRPr="0066755F">
        <w:rPr>
          <w:rFonts w:ascii="Times New Roman" w:hAnsi="Times New Roman" w:cs="Times New Roman"/>
        </w:rPr>
        <w:lastRenderedPageBreak/>
        <w:t>VALE,</w:t>
      </w:r>
      <w:proofErr w:type="gramEnd"/>
      <w:r w:rsidRPr="0066755F">
        <w:rPr>
          <w:rFonts w:ascii="Times New Roman" w:hAnsi="Times New Roman" w:cs="Times New Roman"/>
        </w:rPr>
        <w:t xml:space="preserve"> Luís António </w:t>
      </w:r>
      <w:proofErr w:type="spellStart"/>
      <w:r w:rsidRPr="0066755F">
        <w:rPr>
          <w:rFonts w:ascii="Times New Roman" w:hAnsi="Times New Roman" w:cs="Times New Roman"/>
        </w:rPr>
        <w:t>Malheiro</w:t>
      </w:r>
      <w:proofErr w:type="spellEnd"/>
      <w:r w:rsidRPr="0066755F">
        <w:rPr>
          <w:rFonts w:ascii="Times New Roman" w:hAnsi="Times New Roman" w:cs="Times New Roman"/>
        </w:rPr>
        <w:t xml:space="preserve"> Meneses do. </w:t>
      </w:r>
      <w:r w:rsidRPr="0066755F">
        <w:rPr>
          <w:rFonts w:ascii="Times New Roman" w:hAnsi="Times New Roman" w:cs="Times New Roman"/>
          <w:i/>
        </w:rPr>
        <w:t xml:space="preserve">Metodologia do direito: </w:t>
      </w:r>
      <w:proofErr w:type="spellStart"/>
      <w:r w:rsidRPr="0066755F">
        <w:rPr>
          <w:rFonts w:ascii="Times New Roman" w:hAnsi="Times New Roman" w:cs="Times New Roman"/>
          <w:i/>
        </w:rPr>
        <w:t>guião</w:t>
      </w:r>
      <w:proofErr w:type="spellEnd"/>
      <w:r w:rsidRPr="0066755F">
        <w:rPr>
          <w:rFonts w:ascii="Times New Roman" w:hAnsi="Times New Roman" w:cs="Times New Roman"/>
          <w:i/>
        </w:rPr>
        <w:t xml:space="preserve"> das aulas práticas</w:t>
      </w:r>
      <w:r w:rsidRPr="0066755F">
        <w:rPr>
          <w:rFonts w:ascii="Times New Roman" w:hAnsi="Times New Roman" w:cs="Times New Roman"/>
        </w:rPr>
        <w:t>. Policopiado. Coimbra, 2010</w:t>
      </w:r>
      <w:r w:rsidRPr="0066755F">
        <w:rPr>
          <w:rFonts w:ascii="Times New Roman" w:hAnsi="Times New Roman" w:cs="Times New Roman"/>
          <w:i/>
        </w:rPr>
        <w:t xml:space="preserve"> [s.n]</w:t>
      </w:r>
    </w:p>
    <w:p w:rsidR="0066755F" w:rsidRPr="0066755F" w:rsidRDefault="0066755F" w:rsidP="009A137B">
      <w:pPr>
        <w:spacing w:after="720" w:line="240" w:lineRule="auto"/>
        <w:jc w:val="both"/>
        <w:rPr>
          <w:rFonts w:ascii="Times New Roman" w:hAnsi="Times New Roman" w:cs="Times New Roman"/>
        </w:rPr>
      </w:pPr>
    </w:p>
    <w:sectPr w:rsidR="0066755F" w:rsidRPr="0066755F" w:rsidSect="003C4864">
      <w:pgSz w:w="11906" w:h="16838"/>
      <w:pgMar w:top="1701" w:right="1134"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211507" w:date="2014-06-25T18:16:00Z" w:initials="d">
    <w:p w:rsidR="00DD5E7A" w:rsidRDefault="00DD5E7A">
      <w:pPr>
        <w:pStyle w:val="Textodecomentrio"/>
      </w:pPr>
      <w:r>
        <w:rPr>
          <w:rStyle w:val="Refdecomentrio"/>
        </w:rPr>
        <w:annotationRef/>
      </w:r>
      <w:r>
        <w:t>O resumo d</w:t>
      </w:r>
      <w:r w:rsidR="003F608B">
        <w:t>eve ser incluído na introdução.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36" w:rsidRDefault="00D62136" w:rsidP="003C4864">
      <w:pPr>
        <w:spacing w:after="0" w:line="240" w:lineRule="auto"/>
      </w:pPr>
      <w:r>
        <w:separator/>
      </w:r>
    </w:p>
  </w:endnote>
  <w:endnote w:type="continuationSeparator" w:id="0">
    <w:p w:rsidR="00D62136" w:rsidRDefault="00D62136" w:rsidP="003C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36" w:rsidRDefault="00D62136" w:rsidP="003C4864">
      <w:pPr>
        <w:spacing w:after="0" w:line="240" w:lineRule="auto"/>
      </w:pPr>
      <w:r>
        <w:separator/>
      </w:r>
    </w:p>
  </w:footnote>
  <w:footnote w:type="continuationSeparator" w:id="0">
    <w:p w:rsidR="00D62136" w:rsidRDefault="00D62136" w:rsidP="003C4864">
      <w:pPr>
        <w:spacing w:after="0" w:line="240" w:lineRule="auto"/>
      </w:pPr>
      <w:r>
        <w:continuationSeparator/>
      </w:r>
    </w:p>
  </w:footnote>
  <w:footnote w:id="1">
    <w:p w:rsidR="00A34684" w:rsidRDefault="00A34684">
      <w:pPr>
        <w:pStyle w:val="Textodenotaderodap"/>
      </w:pPr>
      <w:r>
        <w:rPr>
          <w:rStyle w:val="Refdenotaderodap"/>
        </w:rPr>
        <w:footnoteRef/>
      </w:r>
      <w:r>
        <w:t xml:space="preserve"> Aluno especial do curso de mestrado em Direitos e Garantias Fundamentais, da Faculdade de Direito de Vitória. Membro da Academia Brasileira de Filosofia do Direito e Sociologia do Direito (ABRAFI). Contato: eliascanal@gmail.com</w:t>
      </w:r>
    </w:p>
  </w:footnote>
  <w:footnote w:id="2">
    <w:p w:rsidR="003C4864" w:rsidRDefault="003C4864" w:rsidP="003C4864">
      <w:pPr>
        <w:pStyle w:val="Textodenotaderodap"/>
      </w:pPr>
      <w:r>
        <w:rPr>
          <w:rStyle w:val="Refdenotaderodap"/>
        </w:rPr>
        <w:footnoteRef/>
      </w:r>
      <w:r>
        <w:rPr>
          <w:rStyle w:val="Refdenotaderodap"/>
        </w:rPr>
        <w:tab/>
      </w:r>
      <w:r>
        <w:t xml:space="preserve"> Os principais representantes, segundo </w:t>
      </w:r>
      <w:proofErr w:type="spellStart"/>
      <w:r>
        <w:t>Larenz</w:t>
      </w:r>
      <w:proofErr w:type="spellEnd"/>
      <w:r>
        <w:t xml:space="preserve"> (1997, p.63) são: Phillip </w:t>
      </w:r>
      <w:proofErr w:type="spellStart"/>
      <w:r>
        <w:t>Heck</w:t>
      </w:r>
      <w:proofErr w:type="spellEnd"/>
      <w:r>
        <w:t xml:space="preserve">, Heinrich </w:t>
      </w:r>
      <w:proofErr w:type="spellStart"/>
      <w:r>
        <w:t>Stoll</w:t>
      </w:r>
      <w:proofErr w:type="spellEnd"/>
      <w:r>
        <w:t xml:space="preserve">, Rudolf </w:t>
      </w:r>
      <w:proofErr w:type="spellStart"/>
      <w:r>
        <w:t>Müller-Erzbach</w:t>
      </w:r>
      <w:proofErr w:type="spellEnd"/>
      <w:r>
        <w:t>.</w:t>
      </w:r>
    </w:p>
  </w:footnote>
  <w:footnote w:id="3">
    <w:p w:rsidR="003C4864" w:rsidRDefault="003C4864" w:rsidP="003C4864">
      <w:pPr>
        <w:pStyle w:val="Textodenotaderodap"/>
        <w:jc w:val="both"/>
      </w:pPr>
      <w:r>
        <w:rPr>
          <w:rStyle w:val="Refdenotaderodap"/>
        </w:rPr>
        <w:footnoteRef/>
      </w:r>
      <w:r>
        <w:rPr>
          <w:rStyle w:val="Refdenotaderodap"/>
        </w:rPr>
        <w:tab/>
      </w:r>
      <w:r>
        <w:rPr>
          <w:i/>
          <w:lang w:val="pt-PT"/>
        </w:rPr>
        <w:t>Interesses</w:t>
      </w:r>
      <w:r>
        <w:rPr>
          <w:lang w:val="pt-PT"/>
        </w:rPr>
        <w:t xml:space="preserve">é expressão que denota «no mais amplo sentido» todas as tendências, aspirações e necessidades manifestadas na vida social, tanto de ordem material como de ordem ideal, pois tratar-se-ia de um «conceito neutro» exigido metodológico-científicamente para referir, no fundo, todas as pretensões socialmente relevantes – mas em que se tinha por importante acentuar, em reacção à censura de materialismo de que a J.I.se via alvo, que os «intesses ideais» («os interesses éticos, religiosos, de moralidade, os interesses da justiça, da equidade, etc., os mais altos interesses da humanidade») não iam menos considerados que os interesses materiais. Por outro lado, os interesses manifestar-se-iam socialmente sempre em termos de concorrência e oposição uns perante os outros, em termos, pos, de </w:t>
      </w:r>
      <w:r>
        <w:rPr>
          <w:i/>
          <w:lang w:val="pt-PT"/>
        </w:rPr>
        <w:t>conflitos de interesses</w:t>
      </w:r>
      <w:r>
        <w:rPr>
          <w:lang w:val="pt-PT"/>
        </w:rPr>
        <w:t xml:space="preserve"> – e seria essa situação de conflito entre os interesses da situação socialmente básica do Direito, mesmo a sua genética determinante, já que para arbitrar entre os interesses conflituantes se exigiria verdadeiramente o direito e só mediante essa ponderação dos interesses competitivos ele cumpriria a sua função de «proteção de interesses» e nessa medida «servia a vida». (NEVES, 2010, p.225) </w:t>
      </w:r>
    </w:p>
  </w:footnote>
  <w:footnote w:id="4">
    <w:p w:rsidR="003C4864" w:rsidRDefault="003C4864" w:rsidP="003C4864">
      <w:pPr>
        <w:pStyle w:val="Textodenotaderodap"/>
        <w:jc w:val="both"/>
      </w:pPr>
      <w:r>
        <w:rPr>
          <w:rStyle w:val="Refdenotaderodap"/>
        </w:rPr>
        <w:footnoteRef/>
      </w:r>
      <w:r>
        <w:rPr>
          <w:rStyle w:val="Refdenotaderodap"/>
        </w:rPr>
        <w:tab/>
      </w:r>
      <w:r>
        <w:t xml:space="preserve"> Não deixe de ter pre</w:t>
      </w:r>
      <w:r w:rsidR="00F43E44">
        <w:t>sentes alguns dos exemplos didá</w:t>
      </w:r>
      <w:r>
        <w:t xml:space="preserve">ticos fornecidos por </w:t>
      </w:r>
      <w:proofErr w:type="spellStart"/>
      <w:r>
        <w:t>Heck</w:t>
      </w:r>
      <w:proofErr w:type="spellEnd"/>
      <w:r>
        <w:t>: a enfermeira que acorda o paciente para lhe dar o soporífero, porque tinha sido a ordem expressa recebida a de dar esse medicamento àquela hora; o artilheiro que bombardeia, segundo ordens recebidas, uma colina já</w:t>
      </w:r>
      <w:proofErr w:type="gramStart"/>
      <w:r>
        <w:t xml:space="preserve"> entretanto</w:t>
      </w:r>
      <w:proofErr w:type="gramEnd"/>
      <w:r>
        <w:t xml:space="preserve"> ocupado pelo seu próprio exército. (LINHARES, 2010, p.104)</w:t>
      </w:r>
    </w:p>
  </w:footnote>
  <w:footnote w:id="5">
    <w:p w:rsidR="003C4864" w:rsidRDefault="003C4864" w:rsidP="003C4864">
      <w:pPr>
        <w:pStyle w:val="Textodenotaderodap"/>
        <w:jc w:val="both"/>
      </w:pPr>
      <w:r>
        <w:rPr>
          <w:rStyle w:val="Refdenotaderodap"/>
        </w:rPr>
        <w:footnoteRef/>
      </w:r>
      <w:r>
        <w:rPr>
          <w:rStyle w:val="Refdenotaderodap"/>
        </w:rPr>
        <w:tab/>
      </w:r>
      <w:r>
        <w:t xml:space="preserve"> Este mesmo autor (BRONZE, 2010, pp.816-824) afirma que a partir da Jurisprudência dos interesses surgiram diversas correntes, tais como o pensamento jurídico-causal de </w:t>
      </w:r>
      <w:proofErr w:type="spellStart"/>
      <w:r>
        <w:t>Müller-Erzbach</w:t>
      </w:r>
      <w:proofErr w:type="spellEnd"/>
      <w:r>
        <w:t>; o realismo jurídico, norte-americano e escandinavo; a teoria analítica da decisão; e ainda, a Jurisprudência da valoração; esta última, trabalhada no próximo subtópico.</w:t>
      </w:r>
    </w:p>
  </w:footnote>
  <w:footnote w:id="6">
    <w:p w:rsidR="003C4864" w:rsidRDefault="003C4864" w:rsidP="003C4864">
      <w:pPr>
        <w:pStyle w:val="Textodenotaderodap"/>
        <w:jc w:val="both"/>
      </w:pPr>
      <w:r>
        <w:rPr>
          <w:rStyle w:val="Refdenotaderodap"/>
        </w:rPr>
        <w:footnoteRef/>
      </w:r>
      <w:r>
        <w:rPr>
          <w:rStyle w:val="Refdenotaderodap"/>
        </w:rPr>
        <w:tab/>
      </w:r>
      <w:r>
        <w:t xml:space="preserve"> Apesar da resistência ainda denunciada pela terminologia </w:t>
      </w:r>
      <w:proofErr w:type="spellStart"/>
      <w:r>
        <w:t>heckiana</w:t>
      </w:r>
      <w:proofErr w:type="spellEnd"/>
      <w:r>
        <w:t xml:space="preserve">, que os não qualificava expressamente como problemas (respectivamente, o problema constitutivo da relevância normativa da norma e o problema constitutivo do mérito normativo do caso), antes contrapunha a “decisão legal do </w:t>
      </w:r>
      <w:r>
        <w:rPr>
          <w:i/>
        </w:rPr>
        <w:t>conflito</w:t>
      </w:r>
      <w:r>
        <w:t xml:space="preserve">” </w:t>
      </w:r>
      <w:proofErr w:type="gramStart"/>
      <w:r>
        <w:t>à</w:t>
      </w:r>
      <w:proofErr w:type="gramEnd"/>
      <w:r>
        <w:t xml:space="preserve"> “decisão judicial do </w:t>
      </w:r>
      <w:r>
        <w:rPr>
          <w:i/>
        </w:rPr>
        <w:t>caso</w:t>
      </w:r>
      <w:r>
        <w:t>”. (BRONZE, 2010, p.810)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B66"/>
    <w:multiLevelType w:val="hybridMultilevel"/>
    <w:tmpl w:val="A48C22CC"/>
    <w:lvl w:ilvl="0" w:tplc="A5206F5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667F55"/>
    <w:multiLevelType w:val="multilevel"/>
    <w:tmpl w:val="54E68A7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4F6173A3"/>
    <w:multiLevelType w:val="multilevel"/>
    <w:tmpl w:val="047C40C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2315C1A"/>
    <w:multiLevelType w:val="multilevel"/>
    <w:tmpl w:val="4420F8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DF7BA5"/>
    <w:multiLevelType w:val="multilevel"/>
    <w:tmpl w:val="76E6E7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68A25518"/>
    <w:multiLevelType w:val="hybridMultilevel"/>
    <w:tmpl w:val="F698E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4864"/>
    <w:rsid w:val="00032490"/>
    <w:rsid w:val="000F6B1F"/>
    <w:rsid w:val="00135594"/>
    <w:rsid w:val="0025632A"/>
    <w:rsid w:val="0029044C"/>
    <w:rsid w:val="00344706"/>
    <w:rsid w:val="003C4864"/>
    <w:rsid w:val="003F608B"/>
    <w:rsid w:val="005074A0"/>
    <w:rsid w:val="00513375"/>
    <w:rsid w:val="0066755F"/>
    <w:rsid w:val="00753B01"/>
    <w:rsid w:val="008905B9"/>
    <w:rsid w:val="008976D6"/>
    <w:rsid w:val="009A137B"/>
    <w:rsid w:val="00A34684"/>
    <w:rsid w:val="00A813CF"/>
    <w:rsid w:val="00A879C9"/>
    <w:rsid w:val="00D62136"/>
    <w:rsid w:val="00DD5E7A"/>
    <w:rsid w:val="00EB5A7F"/>
    <w:rsid w:val="00F43E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4864"/>
    <w:pPr>
      <w:suppressAutoHyphens/>
    </w:pPr>
    <w:rPr>
      <w:rFonts w:ascii="Arial" w:eastAsia="SimSun" w:hAnsi="Arial" w:cs="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rsid w:val="003C4864"/>
    <w:rPr>
      <w:vertAlign w:val="superscript"/>
    </w:rPr>
  </w:style>
  <w:style w:type="character" w:customStyle="1" w:styleId="ncoradanotaderodap">
    <w:name w:val="Âncora da nota de rodapé"/>
    <w:rsid w:val="003C4864"/>
    <w:rPr>
      <w:vertAlign w:val="superscript"/>
    </w:rPr>
  </w:style>
  <w:style w:type="paragraph" w:styleId="Textodenotaderodap">
    <w:name w:val="footnote text"/>
    <w:basedOn w:val="Normal"/>
    <w:link w:val="TextodenotaderodapChar"/>
    <w:rsid w:val="003C4864"/>
    <w:pPr>
      <w:spacing w:after="0" w:line="100" w:lineRule="atLeast"/>
    </w:pPr>
    <w:rPr>
      <w:sz w:val="20"/>
      <w:szCs w:val="20"/>
    </w:rPr>
  </w:style>
  <w:style w:type="character" w:customStyle="1" w:styleId="TextodenotaderodapChar">
    <w:name w:val="Texto de nota de rodapé Char"/>
    <w:basedOn w:val="Fontepargpadro"/>
    <w:link w:val="Textodenotaderodap"/>
    <w:rsid w:val="003C4864"/>
    <w:rPr>
      <w:rFonts w:ascii="Arial" w:eastAsia="SimSun" w:hAnsi="Arial" w:cs="Calibri"/>
      <w:sz w:val="20"/>
      <w:szCs w:val="20"/>
    </w:rPr>
  </w:style>
  <w:style w:type="paragraph" w:styleId="PargrafodaLista">
    <w:name w:val="List Paragraph"/>
    <w:basedOn w:val="Normal"/>
    <w:uiPriority w:val="34"/>
    <w:qFormat/>
    <w:rsid w:val="00F43E44"/>
    <w:pPr>
      <w:ind w:left="720"/>
      <w:contextualSpacing/>
    </w:pPr>
  </w:style>
  <w:style w:type="character" w:styleId="Refdecomentrio">
    <w:name w:val="annotation reference"/>
    <w:basedOn w:val="Fontepargpadro"/>
    <w:uiPriority w:val="99"/>
    <w:semiHidden/>
    <w:unhideWhenUsed/>
    <w:rsid w:val="00DD5E7A"/>
    <w:rPr>
      <w:sz w:val="16"/>
      <w:szCs w:val="16"/>
    </w:rPr>
  </w:style>
  <w:style w:type="paragraph" w:styleId="Textodecomentrio">
    <w:name w:val="annotation text"/>
    <w:basedOn w:val="Normal"/>
    <w:link w:val="TextodecomentrioChar"/>
    <w:uiPriority w:val="99"/>
    <w:semiHidden/>
    <w:unhideWhenUsed/>
    <w:rsid w:val="00DD5E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5E7A"/>
    <w:rPr>
      <w:rFonts w:ascii="Arial" w:eastAsia="SimSun" w:hAnsi="Arial" w:cs="Calibri"/>
      <w:sz w:val="20"/>
      <w:szCs w:val="20"/>
    </w:rPr>
  </w:style>
  <w:style w:type="paragraph" w:styleId="Assuntodocomentrio">
    <w:name w:val="annotation subject"/>
    <w:basedOn w:val="Textodecomentrio"/>
    <w:next w:val="Textodecomentrio"/>
    <w:link w:val="AssuntodocomentrioChar"/>
    <w:uiPriority w:val="99"/>
    <w:semiHidden/>
    <w:unhideWhenUsed/>
    <w:rsid w:val="00DD5E7A"/>
    <w:rPr>
      <w:b/>
      <w:bCs/>
    </w:rPr>
  </w:style>
  <w:style w:type="character" w:customStyle="1" w:styleId="AssuntodocomentrioChar">
    <w:name w:val="Assunto do comentário Char"/>
    <w:basedOn w:val="TextodecomentrioChar"/>
    <w:link w:val="Assuntodocomentrio"/>
    <w:uiPriority w:val="99"/>
    <w:semiHidden/>
    <w:rsid w:val="00DD5E7A"/>
    <w:rPr>
      <w:b/>
      <w:bCs/>
    </w:rPr>
  </w:style>
  <w:style w:type="paragraph" w:styleId="Textodebalo">
    <w:name w:val="Balloon Text"/>
    <w:basedOn w:val="Normal"/>
    <w:link w:val="TextodebaloChar"/>
    <w:uiPriority w:val="99"/>
    <w:semiHidden/>
    <w:unhideWhenUsed/>
    <w:rsid w:val="00DD5E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E7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4864"/>
    <w:pPr>
      <w:suppressAutoHyphens/>
    </w:pPr>
    <w:rPr>
      <w:rFonts w:ascii="Arial" w:eastAsia="SimSun" w:hAnsi="Arial" w:cs="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rsid w:val="003C4864"/>
    <w:rPr>
      <w:vertAlign w:val="superscript"/>
    </w:rPr>
  </w:style>
  <w:style w:type="character" w:customStyle="1" w:styleId="ncoradanotaderodap">
    <w:name w:val="Âncora da nota de rodapé"/>
    <w:rsid w:val="003C4864"/>
    <w:rPr>
      <w:vertAlign w:val="superscript"/>
    </w:rPr>
  </w:style>
  <w:style w:type="paragraph" w:styleId="Textodenotaderodap">
    <w:name w:val="footnote text"/>
    <w:basedOn w:val="Normal"/>
    <w:link w:val="TextodenotaderodapChar"/>
    <w:rsid w:val="003C4864"/>
    <w:pPr>
      <w:spacing w:after="0" w:line="100" w:lineRule="atLeast"/>
    </w:pPr>
    <w:rPr>
      <w:sz w:val="20"/>
      <w:szCs w:val="20"/>
    </w:rPr>
  </w:style>
  <w:style w:type="character" w:customStyle="1" w:styleId="TextodenotaderodapChar">
    <w:name w:val="Texto de nota de rodapé Char"/>
    <w:basedOn w:val="Fontepargpadro"/>
    <w:link w:val="Textodenotaderodap"/>
    <w:rsid w:val="003C4864"/>
    <w:rPr>
      <w:rFonts w:ascii="Arial" w:eastAsia="SimSun" w:hAnsi="Arial" w:cs="Calibri"/>
      <w:sz w:val="20"/>
      <w:szCs w:val="20"/>
    </w:rPr>
  </w:style>
  <w:style w:type="paragraph" w:styleId="PargrafodaLista">
    <w:name w:val="List Paragraph"/>
    <w:basedOn w:val="Normal"/>
    <w:uiPriority w:val="34"/>
    <w:qFormat/>
    <w:rsid w:val="00F43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604B-D361-420E-B5BB-447E633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1840</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CANAL FREITAS</dc:creator>
  <cp:lastModifiedBy>d211507</cp:lastModifiedBy>
  <cp:revision>4</cp:revision>
  <dcterms:created xsi:type="dcterms:W3CDTF">2014-06-25T20:33:00Z</dcterms:created>
  <dcterms:modified xsi:type="dcterms:W3CDTF">2014-07-01T21:23:00Z</dcterms:modified>
</cp:coreProperties>
</file>